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FB6" w:rsidRPr="009D59B1" w:rsidRDefault="00FC3FB6" w:rsidP="009D59B1">
      <w:pPr>
        <w:jc w:val="both"/>
        <w:rPr>
          <w:i/>
          <w:sz w:val="20"/>
          <w:szCs w:val="20"/>
        </w:rPr>
      </w:pPr>
    </w:p>
    <w:p w:rsidR="00FC3FB6" w:rsidRPr="009D59B1" w:rsidRDefault="00FC3FB6" w:rsidP="009D59B1">
      <w:pPr>
        <w:jc w:val="both"/>
        <w:rPr>
          <w:sz w:val="20"/>
          <w:szCs w:val="20"/>
        </w:rPr>
      </w:pPr>
    </w:p>
    <w:p w:rsidR="00FC3FB6" w:rsidRPr="009D59B1" w:rsidRDefault="00FC3FB6" w:rsidP="009D59B1">
      <w:pPr>
        <w:jc w:val="both"/>
        <w:rPr>
          <w:sz w:val="20"/>
          <w:szCs w:val="20"/>
        </w:rPr>
      </w:pPr>
    </w:p>
    <w:p w:rsidR="008A76E0" w:rsidRDefault="008A76E0" w:rsidP="003C569B">
      <w:pPr>
        <w:jc w:val="center"/>
        <w:rPr>
          <w:b/>
          <w:caps/>
          <w:sz w:val="20"/>
          <w:szCs w:val="20"/>
        </w:rPr>
      </w:pPr>
    </w:p>
    <w:p w:rsidR="008A76E0" w:rsidRDefault="008A76E0" w:rsidP="003C569B">
      <w:pPr>
        <w:jc w:val="center"/>
        <w:rPr>
          <w:b/>
          <w:caps/>
          <w:sz w:val="20"/>
          <w:szCs w:val="20"/>
        </w:rPr>
      </w:pPr>
    </w:p>
    <w:p w:rsidR="008A76E0" w:rsidRDefault="008A76E0" w:rsidP="003C569B">
      <w:pPr>
        <w:jc w:val="center"/>
        <w:rPr>
          <w:b/>
          <w:caps/>
          <w:sz w:val="20"/>
          <w:szCs w:val="20"/>
        </w:rPr>
      </w:pPr>
    </w:p>
    <w:p w:rsidR="008A76E0" w:rsidRDefault="008A76E0" w:rsidP="003C569B">
      <w:pPr>
        <w:jc w:val="center"/>
        <w:rPr>
          <w:b/>
          <w:caps/>
          <w:sz w:val="20"/>
          <w:szCs w:val="20"/>
        </w:rPr>
      </w:pPr>
    </w:p>
    <w:p w:rsidR="008A76E0" w:rsidRDefault="00FC3FB6" w:rsidP="003C569B">
      <w:pPr>
        <w:jc w:val="center"/>
        <w:rPr>
          <w:b/>
          <w:caps/>
          <w:sz w:val="20"/>
          <w:szCs w:val="20"/>
        </w:rPr>
      </w:pPr>
      <w:r w:rsidRPr="003C569B">
        <w:rPr>
          <w:b/>
          <w:caps/>
          <w:sz w:val="20"/>
          <w:szCs w:val="20"/>
        </w:rPr>
        <w:t>A Vocabulary-Added Reading In</w:t>
      </w:r>
      <w:r w:rsidR="008A76E0">
        <w:rPr>
          <w:b/>
          <w:caps/>
          <w:sz w:val="20"/>
          <w:szCs w:val="20"/>
        </w:rPr>
        <w:t>tervention for English Learners</w:t>
      </w:r>
    </w:p>
    <w:p w:rsidR="00FC3FB6" w:rsidRPr="003C569B" w:rsidRDefault="00FC3FB6" w:rsidP="003C569B">
      <w:pPr>
        <w:jc w:val="center"/>
        <w:rPr>
          <w:b/>
          <w:caps/>
          <w:sz w:val="20"/>
          <w:szCs w:val="20"/>
        </w:rPr>
      </w:pPr>
      <w:r w:rsidRPr="003C569B">
        <w:rPr>
          <w:b/>
          <w:caps/>
          <w:sz w:val="20"/>
          <w:szCs w:val="20"/>
        </w:rPr>
        <w:t>at-risk of Reading Difficulties</w:t>
      </w:r>
    </w:p>
    <w:p w:rsidR="00FC3FB6" w:rsidRPr="009D59B1" w:rsidRDefault="00FC3FB6" w:rsidP="009D59B1">
      <w:pPr>
        <w:jc w:val="both"/>
        <w:rPr>
          <w:sz w:val="20"/>
          <w:szCs w:val="20"/>
        </w:rPr>
      </w:pPr>
    </w:p>
    <w:p w:rsidR="00FC3FB6" w:rsidRPr="008A76E0" w:rsidRDefault="00CB6913" w:rsidP="008A76E0">
      <w:pPr>
        <w:jc w:val="center"/>
        <w:rPr>
          <w:b/>
          <w:sz w:val="20"/>
          <w:szCs w:val="20"/>
        </w:rPr>
      </w:pPr>
      <w:r w:rsidRPr="008A76E0">
        <w:rPr>
          <w:b/>
          <w:sz w:val="20"/>
          <w:szCs w:val="20"/>
        </w:rPr>
        <w:t xml:space="preserve">Alexis </w:t>
      </w:r>
      <w:r w:rsidR="0010004B" w:rsidRPr="008A76E0">
        <w:rPr>
          <w:b/>
          <w:sz w:val="20"/>
          <w:szCs w:val="20"/>
        </w:rPr>
        <w:t xml:space="preserve">L. </w:t>
      </w:r>
      <w:proofErr w:type="spellStart"/>
      <w:r w:rsidRPr="008A76E0">
        <w:rPr>
          <w:b/>
          <w:sz w:val="20"/>
          <w:szCs w:val="20"/>
        </w:rPr>
        <w:t>Filippini</w:t>
      </w:r>
      <w:proofErr w:type="spellEnd"/>
    </w:p>
    <w:p w:rsidR="0010004B" w:rsidRPr="008A76E0" w:rsidRDefault="0010004B" w:rsidP="008A76E0">
      <w:pPr>
        <w:jc w:val="center"/>
        <w:rPr>
          <w:i/>
          <w:sz w:val="20"/>
          <w:szCs w:val="20"/>
        </w:rPr>
      </w:pPr>
      <w:r w:rsidRPr="008A76E0">
        <w:rPr>
          <w:i/>
          <w:sz w:val="20"/>
          <w:szCs w:val="20"/>
        </w:rPr>
        <w:t>Mission Learning Center</w:t>
      </w:r>
    </w:p>
    <w:p w:rsidR="008A76E0" w:rsidRDefault="008A76E0" w:rsidP="008A76E0">
      <w:pPr>
        <w:jc w:val="center"/>
        <w:rPr>
          <w:b/>
          <w:sz w:val="20"/>
          <w:szCs w:val="20"/>
        </w:rPr>
      </w:pPr>
    </w:p>
    <w:p w:rsidR="00FC3FB6" w:rsidRPr="008A76E0" w:rsidRDefault="00CB6913" w:rsidP="008A76E0">
      <w:pPr>
        <w:jc w:val="center"/>
        <w:rPr>
          <w:b/>
          <w:sz w:val="20"/>
          <w:szCs w:val="20"/>
        </w:rPr>
      </w:pPr>
      <w:r w:rsidRPr="008A76E0">
        <w:rPr>
          <w:b/>
          <w:sz w:val="20"/>
          <w:szCs w:val="20"/>
        </w:rPr>
        <w:t>Michael M. Gerber</w:t>
      </w:r>
    </w:p>
    <w:p w:rsidR="0010004B" w:rsidRPr="008A76E0" w:rsidRDefault="0010004B" w:rsidP="008A76E0">
      <w:pPr>
        <w:jc w:val="center"/>
        <w:rPr>
          <w:i/>
          <w:sz w:val="20"/>
          <w:szCs w:val="20"/>
        </w:rPr>
      </w:pPr>
      <w:r w:rsidRPr="008A76E0">
        <w:rPr>
          <w:i/>
          <w:sz w:val="20"/>
          <w:szCs w:val="20"/>
        </w:rPr>
        <w:t>University of California</w:t>
      </w:r>
    </w:p>
    <w:p w:rsidR="00FC3FB6" w:rsidRPr="008A76E0" w:rsidRDefault="00FC3FB6" w:rsidP="008A76E0">
      <w:pPr>
        <w:jc w:val="center"/>
        <w:rPr>
          <w:b/>
          <w:sz w:val="20"/>
          <w:szCs w:val="20"/>
        </w:rPr>
      </w:pPr>
    </w:p>
    <w:p w:rsidR="00FC3FB6" w:rsidRPr="008A76E0" w:rsidRDefault="00CB6913" w:rsidP="008A76E0">
      <w:pPr>
        <w:jc w:val="center"/>
        <w:rPr>
          <w:b/>
          <w:sz w:val="20"/>
          <w:szCs w:val="20"/>
        </w:rPr>
      </w:pPr>
      <w:r w:rsidRPr="008A76E0">
        <w:rPr>
          <w:b/>
          <w:sz w:val="20"/>
          <w:szCs w:val="20"/>
        </w:rPr>
        <w:t xml:space="preserve">Jill M. </w:t>
      </w:r>
      <w:proofErr w:type="spellStart"/>
      <w:r w:rsidRPr="008A76E0">
        <w:rPr>
          <w:b/>
          <w:sz w:val="20"/>
          <w:szCs w:val="20"/>
        </w:rPr>
        <w:t>Leafstedt</w:t>
      </w:r>
      <w:proofErr w:type="spellEnd"/>
    </w:p>
    <w:p w:rsidR="0010004B" w:rsidRPr="008A76E0" w:rsidRDefault="008A76E0" w:rsidP="008A76E0">
      <w:pPr>
        <w:jc w:val="center"/>
        <w:rPr>
          <w:i/>
          <w:sz w:val="20"/>
          <w:szCs w:val="20"/>
        </w:rPr>
      </w:pPr>
      <w:r w:rsidRPr="008A76E0">
        <w:rPr>
          <w:i/>
          <w:sz w:val="20"/>
          <w:szCs w:val="20"/>
        </w:rPr>
        <w:t>California State University</w:t>
      </w:r>
    </w:p>
    <w:p w:rsidR="008A76E0" w:rsidRDefault="008A76E0" w:rsidP="005C6AA3">
      <w:pPr>
        <w:rPr>
          <w:sz w:val="20"/>
          <w:szCs w:val="20"/>
        </w:rPr>
      </w:pPr>
    </w:p>
    <w:p w:rsidR="008A76E0" w:rsidRPr="009D59B1" w:rsidRDefault="008A76E0" w:rsidP="008A76E0">
      <w:pPr>
        <w:jc w:val="center"/>
        <w:rPr>
          <w:sz w:val="20"/>
          <w:szCs w:val="20"/>
        </w:rPr>
      </w:pPr>
    </w:p>
    <w:p w:rsidR="00FC3FB6" w:rsidRPr="008A76E0" w:rsidRDefault="00FC3FB6" w:rsidP="00F67141">
      <w:pPr>
        <w:ind w:left="720" w:right="720"/>
        <w:jc w:val="both"/>
        <w:rPr>
          <w:i/>
          <w:sz w:val="20"/>
          <w:szCs w:val="20"/>
        </w:rPr>
      </w:pPr>
      <w:r w:rsidRPr="008A76E0">
        <w:rPr>
          <w:i/>
          <w:sz w:val="20"/>
          <w:szCs w:val="20"/>
        </w:rPr>
        <w:t>This study examined the added value of a vocabulary plus phonological awareness (</w:t>
      </w:r>
      <w:proofErr w:type="spellStart"/>
      <w:r w:rsidRPr="008A76E0">
        <w:rPr>
          <w:i/>
          <w:sz w:val="20"/>
          <w:szCs w:val="20"/>
        </w:rPr>
        <w:t>vocab</w:t>
      </w:r>
      <w:proofErr w:type="spellEnd"/>
      <w:r w:rsidRPr="008A76E0">
        <w:rPr>
          <w:i/>
          <w:sz w:val="20"/>
          <w:szCs w:val="20"/>
        </w:rPr>
        <w:t xml:space="preserve">+) intervention against a phonological awareness (PA only) intervention only. The vocabulary intervention </w:t>
      </w:r>
      <w:r w:rsidR="00BD581D" w:rsidRPr="008A76E0">
        <w:rPr>
          <w:i/>
          <w:sz w:val="20"/>
          <w:szCs w:val="20"/>
        </w:rPr>
        <w:t>built networks</w:t>
      </w:r>
      <w:r w:rsidRPr="008A76E0">
        <w:rPr>
          <w:i/>
          <w:sz w:val="20"/>
          <w:szCs w:val="20"/>
        </w:rPr>
        <w:t xml:space="preserve"> among words through attention to morphological and semantic relationships. This supplementary classroom instruction augmented existing literacy curriculum in a 71 primarily Spanish-speaking English Learners (EL) in grade one</w:t>
      </w:r>
      <w:r w:rsidR="008014A0">
        <w:rPr>
          <w:i/>
          <w:sz w:val="20"/>
          <w:szCs w:val="20"/>
        </w:rPr>
        <w:t xml:space="preserve">, many </w:t>
      </w:r>
      <w:r w:rsidR="00BD581D" w:rsidRPr="008014A0">
        <w:rPr>
          <w:sz w:val="20"/>
          <w:szCs w:val="20"/>
        </w:rPr>
        <w:t>at-risk</w:t>
      </w:r>
      <w:r w:rsidR="00BD581D" w:rsidRPr="008A76E0">
        <w:rPr>
          <w:i/>
          <w:sz w:val="20"/>
          <w:szCs w:val="20"/>
        </w:rPr>
        <w:t xml:space="preserve"> of reading difficulty</w:t>
      </w:r>
      <w:r w:rsidRPr="008A76E0">
        <w:rPr>
          <w:i/>
          <w:sz w:val="20"/>
          <w:szCs w:val="20"/>
        </w:rPr>
        <w:t xml:space="preserve">. </w:t>
      </w:r>
      <w:proofErr w:type="spellStart"/>
      <w:r w:rsidRPr="008A76E0">
        <w:rPr>
          <w:i/>
          <w:sz w:val="20"/>
          <w:szCs w:val="20"/>
        </w:rPr>
        <w:t>Vocab</w:t>
      </w:r>
      <w:proofErr w:type="spellEnd"/>
      <w:r w:rsidRPr="008A76E0">
        <w:rPr>
          <w:i/>
          <w:sz w:val="20"/>
          <w:szCs w:val="20"/>
        </w:rPr>
        <w:t xml:space="preserve">+ lessons drew from expository </w:t>
      </w:r>
      <w:proofErr w:type="gramStart"/>
      <w:r w:rsidRPr="008A76E0">
        <w:rPr>
          <w:i/>
          <w:sz w:val="20"/>
          <w:szCs w:val="20"/>
        </w:rPr>
        <w:t>text,</w:t>
      </w:r>
      <w:proofErr w:type="gramEnd"/>
      <w:r w:rsidRPr="008A76E0">
        <w:rPr>
          <w:i/>
          <w:sz w:val="20"/>
          <w:szCs w:val="20"/>
        </w:rPr>
        <w:t xml:space="preserve"> and words were revisited throughout the program. The PA only group received a previously validated phonological awareness and decoding instruction with no vocabulary instruction. The treatment group (</w:t>
      </w:r>
      <w:proofErr w:type="spellStart"/>
      <w:r w:rsidRPr="008A76E0">
        <w:rPr>
          <w:i/>
          <w:sz w:val="20"/>
          <w:szCs w:val="20"/>
        </w:rPr>
        <w:t>vocab</w:t>
      </w:r>
      <w:proofErr w:type="spellEnd"/>
      <w:r w:rsidRPr="008A76E0">
        <w:rPr>
          <w:i/>
          <w:sz w:val="20"/>
          <w:szCs w:val="20"/>
        </w:rPr>
        <w:t xml:space="preserve">+) spent 30% of the intervention on PA and decoding. </w:t>
      </w:r>
      <w:r w:rsidR="006256A5" w:rsidRPr="008A76E0">
        <w:rPr>
          <w:i/>
          <w:sz w:val="20"/>
          <w:szCs w:val="20"/>
        </w:rPr>
        <w:t>S</w:t>
      </w:r>
      <w:r w:rsidRPr="008A76E0">
        <w:rPr>
          <w:i/>
          <w:sz w:val="20"/>
          <w:szCs w:val="20"/>
        </w:rPr>
        <w:t>tudents demonstrated expected gains in vocabulary, while maintaining gains in phonological decoding equivalent to those of the PA only group. This study demonstrates initial justification for dedicating limited instructional minutes to vocabulary building in early literacy interventions while still dedicating a small portion of time to phonological awareness and decoding.</w:t>
      </w:r>
    </w:p>
    <w:p w:rsidR="00FC3FB6" w:rsidRPr="009D59B1" w:rsidRDefault="00FC3FB6" w:rsidP="009D59B1">
      <w:pPr>
        <w:ind w:firstLine="720"/>
        <w:jc w:val="both"/>
        <w:rPr>
          <w:sz w:val="20"/>
          <w:szCs w:val="20"/>
        </w:rPr>
      </w:pPr>
    </w:p>
    <w:p w:rsidR="00FC3FB6" w:rsidRPr="009D59B1" w:rsidRDefault="00FC3FB6" w:rsidP="009D59B1">
      <w:pPr>
        <w:ind w:firstLine="720"/>
        <w:jc w:val="both"/>
        <w:rPr>
          <w:sz w:val="20"/>
          <w:szCs w:val="20"/>
        </w:rPr>
      </w:pPr>
    </w:p>
    <w:p w:rsidR="00FC3FB6" w:rsidRPr="009D59B1" w:rsidRDefault="00FC3FB6" w:rsidP="008A76E0">
      <w:pPr>
        <w:jc w:val="both"/>
        <w:rPr>
          <w:sz w:val="20"/>
          <w:szCs w:val="20"/>
        </w:rPr>
      </w:pPr>
      <w:r w:rsidRPr="009D59B1">
        <w:rPr>
          <w:sz w:val="20"/>
          <w:szCs w:val="20"/>
        </w:rPr>
        <w:t xml:space="preserve">Extensive evidence supports the effectiveness of early phonological awareness (PA) and decoding interventions on improving reading outcomes for young children at risk for reading difficulty (e.g., </w:t>
      </w:r>
      <w:proofErr w:type="spellStart"/>
      <w:r w:rsidRPr="009D59B1">
        <w:rPr>
          <w:sz w:val="20"/>
          <w:szCs w:val="20"/>
        </w:rPr>
        <w:t>Ehri</w:t>
      </w:r>
      <w:proofErr w:type="spellEnd"/>
      <w:r w:rsidRPr="009D59B1">
        <w:rPr>
          <w:sz w:val="20"/>
          <w:szCs w:val="20"/>
        </w:rPr>
        <w:t xml:space="preserve"> et al., 2001; </w:t>
      </w:r>
      <w:proofErr w:type="spellStart"/>
      <w:r w:rsidRPr="009D59B1">
        <w:rPr>
          <w:sz w:val="20"/>
          <w:szCs w:val="20"/>
        </w:rPr>
        <w:t>McCardle</w:t>
      </w:r>
      <w:proofErr w:type="spellEnd"/>
      <w:r w:rsidRPr="009D59B1">
        <w:rPr>
          <w:sz w:val="20"/>
          <w:szCs w:val="20"/>
        </w:rPr>
        <w:t xml:space="preserve">, Scarborough, &amp; </w:t>
      </w:r>
      <w:proofErr w:type="spellStart"/>
      <w:r w:rsidRPr="009D59B1">
        <w:rPr>
          <w:sz w:val="20"/>
          <w:szCs w:val="20"/>
        </w:rPr>
        <w:t>Catts</w:t>
      </w:r>
      <w:proofErr w:type="spellEnd"/>
      <w:r w:rsidRPr="009D59B1">
        <w:rPr>
          <w:sz w:val="20"/>
          <w:szCs w:val="20"/>
        </w:rPr>
        <w:t xml:space="preserve">, 2001). However, these interventions have traditionally focused on exclusively </w:t>
      </w:r>
      <w:r w:rsidR="0026755A" w:rsidRPr="009D59B1">
        <w:rPr>
          <w:sz w:val="20"/>
          <w:szCs w:val="20"/>
        </w:rPr>
        <w:t>word level skills (e.g</w:t>
      </w:r>
      <w:r w:rsidRPr="009D59B1">
        <w:rPr>
          <w:sz w:val="20"/>
          <w:szCs w:val="20"/>
        </w:rPr>
        <w:t>., PA, word recognition and decoding), sometimes at the expense of vocabulary knowledge, word learning strategies, or other higher order skills critical for comprehension. The long term outcome of this focus has led to students that are fluent readers, but are unable to master reading comprehension (</w:t>
      </w:r>
      <w:proofErr w:type="spellStart"/>
      <w:r w:rsidR="006256A5" w:rsidRPr="009D59B1">
        <w:rPr>
          <w:sz w:val="20"/>
          <w:szCs w:val="20"/>
        </w:rPr>
        <w:t>Crosson</w:t>
      </w:r>
      <w:proofErr w:type="spellEnd"/>
      <w:r w:rsidR="006256A5" w:rsidRPr="009D59B1">
        <w:rPr>
          <w:sz w:val="20"/>
          <w:szCs w:val="20"/>
        </w:rPr>
        <w:t xml:space="preserve"> &amp; </w:t>
      </w:r>
      <w:proofErr w:type="spellStart"/>
      <w:r w:rsidR="006256A5" w:rsidRPr="009D59B1">
        <w:rPr>
          <w:sz w:val="20"/>
          <w:szCs w:val="20"/>
        </w:rPr>
        <w:t>Lesaux</w:t>
      </w:r>
      <w:proofErr w:type="spellEnd"/>
      <w:r w:rsidR="006256A5" w:rsidRPr="009D59B1">
        <w:rPr>
          <w:sz w:val="20"/>
          <w:szCs w:val="20"/>
        </w:rPr>
        <w:t>, 2010).</w:t>
      </w:r>
      <w:r w:rsidRPr="009D59B1">
        <w:rPr>
          <w:sz w:val="20"/>
          <w:szCs w:val="20"/>
        </w:rPr>
        <w:t xml:space="preserve"> </w:t>
      </w:r>
      <w:r w:rsidR="0026755A" w:rsidRPr="009D59B1">
        <w:rPr>
          <w:sz w:val="20"/>
          <w:szCs w:val="20"/>
        </w:rPr>
        <w:t xml:space="preserve">Vocabulary knowledge along with PA, decoding and fluency are essential for reading comprehension for all readers (Beck &amp; </w:t>
      </w:r>
      <w:proofErr w:type="spellStart"/>
      <w:r w:rsidR="0026755A" w:rsidRPr="009D59B1">
        <w:rPr>
          <w:sz w:val="20"/>
          <w:szCs w:val="20"/>
        </w:rPr>
        <w:t>McKeown</w:t>
      </w:r>
      <w:proofErr w:type="spellEnd"/>
      <w:r w:rsidR="0026755A" w:rsidRPr="009D59B1">
        <w:rPr>
          <w:sz w:val="20"/>
          <w:szCs w:val="20"/>
        </w:rPr>
        <w:t xml:space="preserve">, 1991; </w:t>
      </w:r>
      <w:proofErr w:type="spellStart"/>
      <w:r w:rsidR="0026755A" w:rsidRPr="009D59B1">
        <w:rPr>
          <w:sz w:val="20"/>
          <w:szCs w:val="20"/>
        </w:rPr>
        <w:t>NIH</w:t>
      </w:r>
      <w:proofErr w:type="spellEnd"/>
      <w:r w:rsidR="0026755A" w:rsidRPr="009D59B1">
        <w:rPr>
          <w:sz w:val="20"/>
          <w:szCs w:val="20"/>
        </w:rPr>
        <w:t xml:space="preserve">, 2000; Snow, 2002; </w:t>
      </w:r>
      <w:proofErr w:type="spellStart"/>
      <w:r w:rsidR="0026755A" w:rsidRPr="009D59B1">
        <w:rPr>
          <w:sz w:val="20"/>
          <w:szCs w:val="20"/>
        </w:rPr>
        <w:t>Verhoeven</w:t>
      </w:r>
      <w:proofErr w:type="spellEnd"/>
      <w:r w:rsidR="0026755A" w:rsidRPr="009D59B1">
        <w:rPr>
          <w:sz w:val="20"/>
          <w:szCs w:val="20"/>
        </w:rPr>
        <w:t>, 2000). C</w:t>
      </w:r>
      <w:r w:rsidRPr="009D59B1">
        <w:rPr>
          <w:sz w:val="20"/>
          <w:szCs w:val="20"/>
        </w:rPr>
        <w:t xml:space="preserve">ertain subgroups of </w:t>
      </w:r>
      <w:r w:rsidR="0026755A" w:rsidRPr="009D59B1">
        <w:rPr>
          <w:sz w:val="20"/>
          <w:szCs w:val="20"/>
        </w:rPr>
        <w:t xml:space="preserve">students who are </w:t>
      </w:r>
      <w:r w:rsidRPr="009D59B1">
        <w:rPr>
          <w:sz w:val="20"/>
          <w:szCs w:val="20"/>
        </w:rPr>
        <w:t xml:space="preserve">at-risk </w:t>
      </w:r>
      <w:r w:rsidR="0026755A" w:rsidRPr="009D59B1">
        <w:rPr>
          <w:sz w:val="20"/>
          <w:szCs w:val="20"/>
        </w:rPr>
        <w:t>of reading disabilities</w:t>
      </w:r>
      <w:r w:rsidRPr="009D59B1">
        <w:rPr>
          <w:sz w:val="20"/>
          <w:szCs w:val="20"/>
        </w:rPr>
        <w:t xml:space="preserve">, on average, lack breadth and depth of vocabulary knowledge in addition to having difficulties with basic word-level skills. </w:t>
      </w:r>
    </w:p>
    <w:p w:rsidR="008014A0" w:rsidRDefault="008014A0" w:rsidP="009D59B1">
      <w:pPr>
        <w:jc w:val="both"/>
        <w:rPr>
          <w:i/>
          <w:sz w:val="20"/>
          <w:szCs w:val="20"/>
        </w:rPr>
      </w:pPr>
    </w:p>
    <w:p w:rsidR="00FC3FB6" w:rsidRPr="009D59B1" w:rsidRDefault="00FC3FB6" w:rsidP="009D59B1">
      <w:pPr>
        <w:jc w:val="both"/>
        <w:rPr>
          <w:i/>
          <w:sz w:val="20"/>
          <w:szCs w:val="20"/>
        </w:rPr>
      </w:pPr>
      <w:r w:rsidRPr="009D59B1">
        <w:rPr>
          <w:i/>
          <w:sz w:val="20"/>
          <w:szCs w:val="20"/>
        </w:rPr>
        <w:t>Disparities in Vocabulary Knowledge</w:t>
      </w:r>
    </w:p>
    <w:p w:rsidR="0026755A" w:rsidRPr="009D59B1" w:rsidRDefault="00FC3FB6" w:rsidP="008014A0">
      <w:pPr>
        <w:jc w:val="both"/>
        <w:rPr>
          <w:sz w:val="20"/>
          <w:szCs w:val="20"/>
        </w:rPr>
      </w:pPr>
      <w:r w:rsidRPr="009D59B1">
        <w:rPr>
          <w:sz w:val="20"/>
          <w:szCs w:val="20"/>
        </w:rPr>
        <w:t xml:space="preserve">As </w:t>
      </w:r>
      <w:proofErr w:type="spellStart"/>
      <w:r w:rsidRPr="009D59B1">
        <w:rPr>
          <w:sz w:val="20"/>
          <w:szCs w:val="20"/>
        </w:rPr>
        <w:t>Stanovich</w:t>
      </w:r>
      <w:proofErr w:type="spellEnd"/>
      <w:r w:rsidRPr="009D59B1">
        <w:rPr>
          <w:sz w:val="20"/>
          <w:szCs w:val="20"/>
        </w:rPr>
        <w:t xml:space="preserve"> (1986) noted 20 years ago and researchers continue to observe, there is a reciprocal relationship between volume of reading and vocabulary; i.e., the rich get richer and the poor get poorer. The difference in quantity of words known by students is large, increases over time, and is apparen</w:t>
      </w:r>
      <w:r w:rsidR="0026755A" w:rsidRPr="009D59B1">
        <w:rPr>
          <w:sz w:val="20"/>
          <w:szCs w:val="20"/>
        </w:rPr>
        <w:t xml:space="preserve">t even in very young children </w:t>
      </w:r>
      <w:r w:rsidRPr="009D59B1">
        <w:rPr>
          <w:sz w:val="20"/>
          <w:szCs w:val="20"/>
        </w:rPr>
        <w:t xml:space="preserve">(Baker, Simmons, &amp; </w:t>
      </w:r>
      <w:proofErr w:type="spellStart"/>
      <w:r w:rsidRPr="009D59B1">
        <w:rPr>
          <w:sz w:val="20"/>
          <w:szCs w:val="20"/>
        </w:rPr>
        <w:t>Kame'enui</w:t>
      </w:r>
      <w:proofErr w:type="spellEnd"/>
      <w:r w:rsidRPr="009D59B1">
        <w:rPr>
          <w:sz w:val="20"/>
          <w:szCs w:val="20"/>
        </w:rPr>
        <w:t xml:space="preserve">, 1998). </w:t>
      </w:r>
      <w:r w:rsidR="0026755A" w:rsidRPr="009D59B1">
        <w:rPr>
          <w:sz w:val="20"/>
          <w:szCs w:val="20"/>
        </w:rPr>
        <w:t xml:space="preserve">These children tend to develop </w:t>
      </w:r>
      <w:r w:rsidR="0026755A" w:rsidRPr="009D59B1">
        <w:rPr>
          <w:i/>
          <w:sz w:val="20"/>
          <w:szCs w:val="20"/>
        </w:rPr>
        <w:t xml:space="preserve">fewer word learning strategies </w:t>
      </w:r>
      <w:r w:rsidR="0026755A" w:rsidRPr="009D59B1">
        <w:rPr>
          <w:sz w:val="20"/>
          <w:szCs w:val="20"/>
        </w:rPr>
        <w:t xml:space="preserve">in addition to developing smaller funds of word knowledge (Baker, Simmons, &amp; </w:t>
      </w:r>
      <w:proofErr w:type="spellStart"/>
      <w:r w:rsidR="0026755A" w:rsidRPr="009D59B1">
        <w:rPr>
          <w:sz w:val="20"/>
          <w:szCs w:val="20"/>
        </w:rPr>
        <w:t>Kame’enui</w:t>
      </w:r>
      <w:proofErr w:type="spellEnd"/>
      <w:r w:rsidR="0026755A" w:rsidRPr="009D59B1">
        <w:rPr>
          <w:sz w:val="20"/>
          <w:szCs w:val="20"/>
        </w:rPr>
        <w:t xml:space="preserve">, 1995). </w:t>
      </w:r>
    </w:p>
    <w:p w:rsidR="008014A0" w:rsidRDefault="008014A0" w:rsidP="008014A0">
      <w:pPr>
        <w:jc w:val="both"/>
        <w:rPr>
          <w:sz w:val="20"/>
          <w:szCs w:val="20"/>
        </w:rPr>
      </w:pPr>
    </w:p>
    <w:p w:rsidR="00FC3FB6" w:rsidRPr="009D59B1" w:rsidRDefault="00FC3FB6" w:rsidP="008014A0">
      <w:pPr>
        <w:jc w:val="both"/>
        <w:rPr>
          <w:sz w:val="20"/>
          <w:szCs w:val="20"/>
        </w:rPr>
      </w:pPr>
      <w:r w:rsidRPr="009D59B1">
        <w:rPr>
          <w:sz w:val="20"/>
          <w:szCs w:val="20"/>
        </w:rPr>
        <w:t xml:space="preserve">On average, children from lower income families are exposed to more restricted and less rich lexical input, a difference that has been associated with differences in later vocabulary knowledge and use, rate of vocabulary growth, and IQ (Hart &amp; </w:t>
      </w:r>
      <w:proofErr w:type="spellStart"/>
      <w:r w:rsidRPr="009D59B1">
        <w:rPr>
          <w:sz w:val="20"/>
          <w:szCs w:val="20"/>
        </w:rPr>
        <w:t>Risley</w:t>
      </w:r>
      <w:proofErr w:type="spellEnd"/>
      <w:r w:rsidRPr="009D59B1">
        <w:rPr>
          <w:sz w:val="20"/>
          <w:szCs w:val="20"/>
        </w:rPr>
        <w:t xml:space="preserve">, 1995). </w:t>
      </w:r>
      <w:r w:rsidR="00B03408" w:rsidRPr="009D59B1">
        <w:rPr>
          <w:sz w:val="20"/>
          <w:szCs w:val="20"/>
        </w:rPr>
        <w:t>Likewise,</w:t>
      </w:r>
      <w:r w:rsidRPr="009D59B1">
        <w:rPr>
          <w:sz w:val="20"/>
          <w:szCs w:val="20"/>
        </w:rPr>
        <w:t xml:space="preserve"> </w:t>
      </w:r>
      <w:r w:rsidR="0026755A" w:rsidRPr="009D59B1">
        <w:rPr>
          <w:sz w:val="20"/>
          <w:szCs w:val="20"/>
        </w:rPr>
        <w:t>English Learners (</w:t>
      </w:r>
      <w:r w:rsidRPr="009D59B1">
        <w:rPr>
          <w:sz w:val="20"/>
          <w:szCs w:val="20"/>
        </w:rPr>
        <w:t>EL</w:t>
      </w:r>
      <w:r w:rsidR="0026755A" w:rsidRPr="009D59B1">
        <w:rPr>
          <w:sz w:val="20"/>
          <w:szCs w:val="20"/>
        </w:rPr>
        <w:t>)</w:t>
      </w:r>
      <w:r w:rsidRPr="009D59B1">
        <w:rPr>
          <w:sz w:val="20"/>
          <w:szCs w:val="20"/>
        </w:rPr>
        <w:t xml:space="preserve"> typically enter school with smaller English vocabularies than their peers, and by fourth and fifth grade perform about </w:t>
      </w:r>
      <w:r w:rsidRPr="009D59B1">
        <w:rPr>
          <w:sz w:val="20"/>
          <w:szCs w:val="20"/>
        </w:rPr>
        <w:lastRenderedPageBreak/>
        <w:t>one standard deviation below their monolingual peers on all aspects of vocabulary knowledge and reading comprehension (McLaughlin et al., 2000). This gap remains constant over the course of a year – although students learn new vocabulary, the rate of acquisition is not fast enough to catch up and prevent or reduce reading difficulties (August, 2005; McLaughlin et al., 2000). This combination of influences</w:t>
      </w:r>
      <w:r w:rsidR="00B03408" w:rsidRPr="009D59B1">
        <w:rPr>
          <w:sz w:val="20"/>
          <w:szCs w:val="20"/>
        </w:rPr>
        <w:t xml:space="preserve">, </w:t>
      </w:r>
      <w:r w:rsidR="0026755A" w:rsidRPr="009D59B1">
        <w:rPr>
          <w:sz w:val="20"/>
          <w:szCs w:val="20"/>
        </w:rPr>
        <w:t>SES and English language proficiency</w:t>
      </w:r>
      <w:r w:rsidR="00B03408" w:rsidRPr="009D59B1">
        <w:rPr>
          <w:sz w:val="20"/>
          <w:szCs w:val="20"/>
        </w:rPr>
        <w:t>,</w:t>
      </w:r>
      <w:r w:rsidRPr="009D59B1">
        <w:rPr>
          <w:sz w:val="20"/>
          <w:szCs w:val="20"/>
        </w:rPr>
        <w:t xml:space="preserve"> pr</w:t>
      </w:r>
      <w:r w:rsidR="0026755A" w:rsidRPr="009D59B1">
        <w:rPr>
          <w:sz w:val="20"/>
          <w:szCs w:val="20"/>
        </w:rPr>
        <w:t>esents a significant challenge for educators</w:t>
      </w:r>
      <w:r w:rsidRPr="009D59B1">
        <w:rPr>
          <w:sz w:val="20"/>
          <w:szCs w:val="20"/>
        </w:rPr>
        <w:t xml:space="preserve">, as EL tend to be concentrated in schools with high proportions of low-income, minority children, and lower levels of per-pupil expenditures (Donovan &amp; Cross, 2002; </w:t>
      </w:r>
      <w:proofErr w:type="spellStart"/>
      <w:r w:rsidRPr="009D59B1">
        <w:rPr>
          <w:sz w:val="20"/>
          <w:szCs w:val="20"/>
        </w:rPr>
        <w:t>Rumberger</w:t>
      </w:r>
      <w:proofErr w:type="spellEnd"/>
      <w:r w:rsidRPr="009D59B1">
        <w:rPr>
          <w:sz w:val="20"/>
          <w:szCs w:val="20"/>
        </w:rPr>
        <w:t xml:space="preserve">, </w:t>
      </w:r>
      <w:proofErr w:type="spellStart"/>
      <w:r w:rsidRPr="009D59B1">
        <w:rPr>
          <w:sz w:val="20"/>
          <w:szCs w:val="20"/>
        </w:rPr>
        <w:t>Gandara</w:t>
      </w:r>
      <w:proofErr w:type="spellEnd"/>
      <w:r w:rsidRPr="009D59B1">
        <w:rPr>
          <w:sz w:val="20"/>
          <w:szCs w:val="20"/>
        </w:rPr>
        <w:t xml:space="preserve">, &amp; Merino, 2006). </w:t>
      </w:r>
      <w:r w:rsidR="0026755A" w:rsidRPr="009D59B1">
        <w:rPr>
          <w:sz w:val="20"/>
          <w:szCs w:val="20"/>
        </w:rPr>
        <w:t>We face the task of improving our ability to provide multi-faceted early reading intervention that will provide all students with an equal opportunity for successful development of literacy skills.</w:t>
      </w:r>
      <w:r w:rsidRPr="009D59B1">
        <w:rPr>
          <w:sz w:val="20"/>
          <w:szCs w:val="20"/>
        </w:rPr>
        <w:t xml:space="preserve"> </w:t>
      </w:r>
    </w:p>
    <w:p w:rsidR="008014A0" w:rsidRDefault="008014A0" w:rsidP="009D59B1">
      <w:pPr>
        <w:jc w:val="both"/>
        <w:rPr>
          <w:sz w:val="20"/>
          <w:szCs w:val="20"/>
          <w:lang w:eastAsia="ja-JP"/>
        </w:rPr>
      </w:pPr>
    </w:p>
    <w:p w:rsidR="00FC3FB6" w:rsidRPr="009D59B1" w:rsidRDefault="00FC3FB6" w:rsidP="009D59B1">
      <w:pPr>
        <w:jc w:val="both"/>
        <w:rPr>
          <w:i/>
          <w:sz w:val="20"/>
          <w:szCs w:val="20"/>
        </w:rPr>
      </w:pPr>
      <w:r w:rsidRPr="009D59B1">
        <w:rPr>
          <w:sz w:val="20"/>
          <w:szCs w:val="20"/>
          <w:lang w:eastAsia="ja-JP"/>
        </w:rPr>
        <w:t xml:space="preserve">There is promising evidence that </w:t>
      </w:r>
      <w:r w:rsidRPr="009D59B1">
        <w:rPr>
          <w:i/>
          <w:sz w:val="20"/>
          <w:szCs w:val="20"/>
          <w:lang w:eastAsia="ja-JP"/>
        </w:rPr>
        <w:t>early</w:t>
      </w:r>
      <w:r w:rsidRPr="009D59B1">
        <w:rPr>
          <w:sz w:val="20"/>
          <w:szCs w:val="20"/>
          <w:lang w:eastAsia="ja-JP"/>
        </w:rPr>
        <w:t xml:space="preserve"> support in vocabulary instruction can increase vocabulary knowledge and reading outcomes for EL (e.g. </w:t>
      </w:r>
      <w:proofErr w:type="spellStart"/>
      <w:r w:rsidRPr="009D59B1">
        <w:rPr>
          <w:sz w:val="20"/>
          <w:szCs w:val="20"/>
          <w:lang w:eastAsia="ja-JP"/>
        </w:rPr>
        <w:t>Gersten</w:t>
      </w:r>
      <w:proofErr w:type="spellEnd"/>
      <w:r w:rsidRPr="009D59B1">
        <w:rPr>
          <w:sz w:val="20"/>
          <w:szCs w:val="20"/>
          <w:lang w:eastAsia="ja-JP"/>
        </w:rPr>
        <w:t xml:space="preserve"> &amp; </w:t>
      </w:r>
      <w:proofErr w:type="spellStart"/>
      <w:r w:rsidRPr="009D59B1">
        <w:rPr>
          <w:sz w:val="20"/>
          <w:szCs w:val="20"/>
          <w:lang w:eastAsia="ja-JP"/>
        </w:rPr>
        <w:t>Geva</w:t>
      </w:r>
      <w:proofErr w:type="spellEnd"/>
      <w:r w:rsidRPr="009D59B1">
        <w:rPr>
          <w:sz w:val="20"/>
          <w:szCs w:val="20"/>
          <w:lang w:eastAsia="ja-JP"/>
        </w:rPr>
        <w:t xml:space="preserve">, 2003; McLaughlin et al., 2000), but it seems clear that the most vulnerable students (those who are struggling readers learning in a second language) have a twofold need: intensive instruction in PA and decoding skills, </w:t>
      </w:r>
      <w:r w:rsidRPr="009D59B1">
        <w:rPr>
          <w:i/>
          <w:sz w:val="20"/>
          <w:szCs w:val="20"/>
          <w:lang w:eastAsia="ja-JP"/>
        </w:rPr>
        <w:t>and</w:t>
      </w:r>
      <w:r w:rsidRPr="009D59B1">
        <w:rPr>
          <w:sz w:val="20"/>
          <w:szCs w:val="20"/>
          <w:lang w:eastAsia="ja-JP"/>
        </w:rPr>
        <w:t xml:space="preserve"> intensive instruction in vocabulary and vocabulary learning skills. These needs require not only instructional efficacy, but also efficiency. </w:t>
      </w:r>
    </w:p>
    <w:p w:rsidR="008014A0" w:rsidRDefault="008014A0" w:rsidP="009D59B1">
      <w:pPr>
        <w:jc w:val="both"/>
        <w:rPr>
          <w:i/>
          <w:sz w:val="20"/>
          <w:szCs w:val="20"/>
        </w:rPr>
      </w:pPr>
    </w:p>
    <w:p w:rsidR="00FC3FB6" w:rsidRPr="009D59B1" w:rsidRDefault="00FC3FB6" w:rsidP="009D59B1">
      <w:pPr>
        <w:jc w:val="both"/>
        <w:rPr>
          <w:i/>
          <w:sz w:val="20"/>
          <w:szCs w:val="20"/>
        </w:rPr>
      </w:pPr>
      <w:r w:rsidRPr="009D59B1">
        <w:rPr>
          <w:i/>
          <w:sz w:val="20"/>
          <w:szCs w:val="20"/>
        </w:rPr>
        <w:t>Theoretical Background of Intervention</w:t>
      </w:r>
    </w:p>
    <w:p w:rsidR="00FC3FB6" w:rsidRPr="009D59B1" w:rsidRDefault="00FC3FB6" w:rsidP="008014A0">
      <w:pPr>
        <w:jc w:val="both"/>
        <w:rPr>
          <w:sz w:val="20"/>
          <w:szCs w:val="20"/>
        </w:rPr>
      </w:pPr>
      <w:r w:rsidRPr="009D59B1">
        <w:rPr>
          <w:sz w:val="20"/>
          <w:szCs w:val="20"/>
        </w:rPr>
        <w:t xml:space="preserve">This exploratory study was based on the importance of increasing word-learning strategies, </w:t>
      </w:r>
      <w:r w:rsidR="00850E0D" w:rsidRPr="009D59B1">
        <w:rPr>
          <w:sz w:val="20"/>
          <w:szCs w:val="20"/>
        </w:rPr>
        <w:t>above and beyond number of words learned</w:t>
      </w:r>
      <w:r w:rsidRPr="009D59B1">
        <w:rPr>
          <w:sz w:val="20"/>
          <w:szCs w:val="20"/>
        </w:rPr>
        <w:t xml:space="preserve">. By teaching word learning strategies students </w:t>
      </w:r>
      <w:r w:rsidR="00850E0D" w:rsidRPr="009D59B1">
        <w:rPr>
          <w:sz w:val="20"/>
          <w:szCs w:val="20"/>
        </w:rPr>
        <w:t>learn</w:t>
      </w:r>
      <w:r w:rsidRPr="009D59B1">
        <w:rPr>
          <w:sz w:val="20"/>
          <w:szCs w:val="20"/>
        </w:rPr>
        <w:t xml:space="preserve"> </w:t>
      </w:r>
      <w:r w:rsidRPr="009D59B1">
        <w:rPr>
          <w:sz w:val="20"/>
          <w:szCs w:val="20"/>
          <w:u w:val="single"/>
        </w:rPr>
        <w:t>how</w:t>
      </w:r>
      <w:r w:rsidRPr="009D59B1">
        <w:rPr>
          <w:sz w:val="20"/>
          <w:szCs w:val="20"/>
        </w:rPr>
        <w:t xml:space="preserve"> to learn new words, a skill that will continue to benefit them throughout their schooling. To achieve this meaning-making focus, the intervention focused on making structures of language explicit. This focus builds on and enhances </w:t>
      </w:r>
      <w:proofErr w:type="spellStart"/>
      <w:r w:rsidRPr="009D59B1">
        <w:rPr>
          <w:sz w:val="20"/>
          <w:szCs w:val="20"/>
        </w:rPr>
        <w:t>metalinguistic</w:t>
      </w:r>
      <w:proofErr w:type="spellEnd"/>
      <w:r w:rsidRPr="009D59B1">
        <w:rPr>
          <w:sz w:val="20"/>
          <w:szCs w:val="20"/>
        </w:rPr>
        <w:t xml:space="preserve"> awareness - recognizing and manipulating the structural features of language </w:t>
      </w:r>
      <w:r w:rsidR="00850E0D" w:rsidRPr="009D59B1">
        <w:rPr>
          <w:sz w:val="20"/>
          <w:szCs w:val="20"/>
        </w:rPr>
        <w:t>–</w:t>
      </w:r>
      <w:r w:rsidRPr="009D59B1">
        <w:rPr>
          <w:sz w:val="20"/>
          <w:szCs w:val="20"/>
        </w:rPr>
        <w:t xml:space="preserve"> </w:t>
      </w:r>
      <w:r w:rsidR="00850E0D" w:rsidRPr="009D59B1">
        <w:rPr>
          <w:sz w:val="20"/>
          <w:szCs w:val="20"/>
        </w:rPr>
        <w:t>skills that are</w:t>
      </w:r>
      <w:r w:rsidRPr="009D59B1">
        <w:rPr>
          <w:sz w:val="20"/>
          <w:szCs w:val="20"/>
        </w:rPr>
        <w:t xml:space="preserve"> often heightened in bilinguals (Bialystok, </w:t>
      </w:r>
      <w:proofErr w:type="spellStart"/>
      <w:r w:rsidRPr="009D59B1">
        <w:rPr>
          <w:sz w:val="20"/>
          <w:szCs w:val="20"/>
        </w:rPr>
        <w:t>Majumder</w:t>
      </w:r>
      <w:proofErr w:type="spellEnd"/>
      <w:r w:rsidRPr="009D59B1">
        <w:rPr>
          <w:sz w:val="20"/>
          <w:szCs w:val="20"/>
        </w:rPr>
        <w:t>, &amp; Martin, 2003).</w:t>
      </w:r>
      <w:r w:rsidR="00850E0D" w:rsidRPr="009D59B1">
        <w:rPr>
          <w:sz w:val="20"/>
          <w:szCs w:val="20"/>
        </w:rPr>
        <w:t xml:space="preserve"> This explicit focus on language structure builds on the strengths </w:t>
      </w:r>
      <w:r w:rsidR="00F76A15" w:rsidRPr="009D59B1">
        <w:rPr>
          <w:sz w:val="20"/>
          <w:szCs w:val="20"/>
        </w:rPr>
        <w:t>of children who speak more than one language – an additive model.</w:t>
      </w:r>
    </w:p>
    <w:p w:rsidR="008014A0" w:rsidRDefault="008014A0" w:rsidP="008014A0">
      <w:pPr>
        <w:jc w:val="both"/>
        <w:rPr>
          <w:i/>
          <w:sz w:val="20"/>
          <w:szCs w:val="20"/>
        </w:rPr>
      </w:pPr>
    </w:p>
    <w:p w:rsidR="001210F2" w:rsidRDefault="00FC3FB6" w:rsidP="008014A0">
      <w:pPr>
        <w:jc w:val="both"/>
        <w:rPr>
          <w:i/>
          <w:sz w:val="20"/>
          <w:szCs w:val="20"/>
        </w:rPr>
      </w:pPr>
      <w:r w:rsidRPr="009D59B1">
        <w:rPr>
          <w:i/>
          <w:sz w:val="20"/>
          <w:szCs w:val="20"/>
        </w:rPr>
        <w:t>Importance of language structure</w:t>
      </w:r>
    </w:p>
    <w:p w:rsidR="00FC3FB6" w:rsidRPr="009D59B1" w:rsidRDefault="00FC3FB6" w:rsidP="008014A0">
      <w:pPr>
        <w:jc w:val="both"/>
        <w:rPr>
          <w:sz w:val="20"/>
          <w:szCs w:val="20"/>
        </w:rPr>
      </w:pPr>
      <w:r w:rsidRPr="009D59B1">
        <w:rPr>
          <w:sz w:val="20"/>
          <w:szCs w:val="20"/>
        </w:rPr>
        <w:t xml:space="preserve">Research has shown that when teachers highlight the smallest meaningful units of language structures (e.g., phonemes, graphemes, morphemes, </w:t>
      </w:r>
      <w:r w:rsidR="0011454E" w:rsidRPr="009D59B1">
        <w:rPr>
          <w:sz w:val="20"/>
          <w:szCs w:val="20"/>
        </w:rPr>
        <w:t>and even</w:t>
      </w:r>
      <w:r w:rsidRPr="009D59B1">
        <w:rPr>
          <w:sz w:val="20"/>
          <w:szCs w:val="20"/>
        </w:rPr>
        <w:t xml:space="preserve"> semantic features), learners can make connections among words through various systems of language. </w:t>
      </w:r>
      <w:r w:rsidR="00F76A15" w:rsidRPr="009D59B1">
        <w:rPr>
          <w:sz w:val="20"/>
          <w:szCs w:val="20"/>
        </w:rPr>
        <w:t>A familiar example is</w:t>
      </w:r>
      <w:r w:rsidRPr="009D59B1">
        <w:rPr>
          <w:sz w:val="20"/>
          <w:szCs w:val="20"/>
        </w:rPr>
        <w:t xml:space="preserve"> phonemic awareness, a subcompo</w:t>
      </w:r>
      <w:r w:rsidR="00095FAD" w:rsidRPr="009D59B1">
        <w:rPr>
          <w:sz w:val="20"/>
          <w:szCs w:val="20"/>
        </w:rPr>
        <w:t>nent of phonological awareness, or</w:t>
      </w:r>
      <w:r w:rsidRPr="009D59B1">
        <w:rPr>
          <w:sz w:val="20"/>
          <w:szCs w:val="20"/>
        </w:rPr>
        <w:t xml:space="preserve"> the ability to detect and manipulate speech sounds at the level of the phoneme, the smallest unit of spoken language. Altering a single phoneme can result in an entirely different word: bit/pit, top/mop, </w:t>
      </w:r>
      <w:r w:rsidR="0011454E" w:rsidRPr="009D59B1">
        <w:rPr>
          <w:sz w:val="20"/>
          <w:szCs w:val="20"/>
        </w:rPr>
        <w:t>etc.</w:t>
      </w:r>
      <w:r w:rsidR="00095FAD" w:rsidRPr="009D59B1">
        <w:rPr>
          <w:sz w:val="20"/>
          <w:szCs w:val="20"/>
        </w:rPr>
        <w:t xml:space="preserve">, and children build phonological representations of words through analogies, such as learning to segment </w:t>
      </w:r>
      <w:r w:rsidR="008014A0">
        <w:rPr>
          <w:i/>
          <w:sz w:val="20"/>
          <w:szCs w:val="20"/>
        </w:rPr>
        <w:t>cat</w:t>
      </w:r>
      <w:r w:rsidR="00095FAD" w:rsidRPr="009D59B1">
        <w:rPr>
          <w:sz w:val="20"/>
          <w:szCs w:val="20"/>
        </w:rPr>
        <w:t xml:space="preserve"> into /c/ /a/ /t/ and building new words with the /at/ rime</w:t>
      </w:r>
      <w:r w:rsidRPr="009D59B1">
        <w:rPr>
          <w:sz w:val="20"/>
          <w:szCs w:val="20"/>
        </w:rPr>
        <w:t>. The bulk of early reading interventions address PA because the ability to manipulate speech sounds at the phoneme level is highly predictive of early reading performance (</w:t>
      </w:r>
      <w:proofErr w:type="spellStart"/>
      <w:r w:rsidRPr="009D59B1">
        <w:rPr>
          <w:sz w:val="20"/>
          <w:szCs w:val="20"/>
        </w:rPr>
        <w:t>Ehri</w:t>
      </w:r>
      <w:proofErr w:type="spellEnd"/>
      <w:r w:rsidRPr="009D59B1">
        <w:rPr>
          <w:sz w:val="20"/>
          <w:szCs w:val="20"/>
        </w:rPr>
        <w:t xml:space="preserve"> et al., 2001). </w:t>
      </w:r>
      <w:r w:rsidR="0011454E" w:rsidRPr="009D59B1">
        <w:rPr>
          <w:sz w:val="20"/>
          <w:szCs w:val="20"/>
        </w:rPr>
        <w:t xml:space="preserve">As students begin to learn letters in print, PA becomes tightly linked to phonics, that is, the understanding of connections between letters and sounds. </w:t>
      </w:r>
      <w:r w:rsidRPr="009D59B1">
        <w:rPr>
          <w:sz w:val="20"/>
          <w:szCs w:val="20"/>
        </w:rPr>
        <w:t xml:space="preserve">As children move into decoding, instruction targets PA via phonics, emphasizing segmenting and blending of speech sounds while connecting them to print. </w:t>
      </w:r>
    </w:p>
    <w:p w:rsidR="008014A0" w:rsidRDefault="008014A0" w:rsidP="008014A0">
      <w:pPr>
        <w:jc w:val="both"/>
        <w:rPr>
          <w:sz w:val="20"/>
          <w:szCs w:val="20"/>
        </w:rPr>
      </w:pPr>
    </w:p>
    <w:p w:rsidR="00FC3FB6" w:rsidRPr="009D59B1" w:rsidRDefault="00095FAD" w:rsidP="008014A0">
      <w:pPr>
        <w:jc w:val="both"/>
        <w:rPr>
          <w:sz w:val="20"/>
          <w:szCs w:val="20"/>
        </w:rPr>
      </w:pPr>
      <w:r w:rsidRPr="009D59B1">
        <w:rPr>
          <w:sz w:val="20"/>
          <w:szCs w:val="20"/>
        </w:rPr>
        <w:t>Using the same focus on explicit language structure, v</w:t>
      </w:r>
      <w:r w:rsidR="00FC3FB6" w:rsidRPr="009D59B1">
        <w:rPr>
          <w:sz w:val="20"/>
          <w:szCs w:val="20"/>
        </w:rPr>
        <w:t xml:space="preserve">ocabulary plus PA intervention can provide students with the skills </w:t>
      </w:r>
      <w:r w:rsidRPr="009D59B1">
        <w:rPr>
          <w:sz w:val="20"/>
          <w:szCs w:val="20"/>
        </w:rPr>
        <w:t>to make connections among word sounds, forms, and meanings</w:t>
      </w:r>
      <w:r w:rsidR="00FC3FB6" w:rsidRPr="009D59B1">
        <w:rPr>
          <w:sz w:val="20"/>
          <w:szCs w:val="20"/>
        </w:rPr>
        <w:t>.</w:t>
      </w:r>
      <w:r w:rsidR="00FA314D" w:rsidRPr="009D59B1">
        <w:rPr>
          <w:sz w:val="20"/>
          <w:szCs w:val="20"/>
        </w:rPr>
        <w:t xml:space="preserve"> Making these connections is critical to understanding words, as word knowledge includes orthographic, phonological, and semantic representations (Rosenthal &amp; </w:t>
      </w:r>
      <w:proofErr w:type="spellStart"/>
      <w:r w:rsidR="00FA314D" w:rsidRPr="009D59B1">
        <w:rPr>
          <w:sz w:val="20"/>
          <w:szCs w:val="20"/>
        </w:rPr>
        <w:t>Ehri</w:t>
      </w:r>
      <w:proofErr w:type="spellEnd"/>
      <w:r w:rsidR="00FA314D" w:rsidRPr="009D59B1">
        <w:rPr>
          <w:sz w:val="20"/>
          <w:szCs w:val="20"/>
        </w:rPr>
        <w:t xml:space="preserve">, 2008). </w:t>
      </w:r>
      <w:r w:rsidR="00FC3FB6" w:rsidRPr="009D59B1">
        <w:rPr>
          <w:sz w:val="20"/>
          <w:szCs w:val="20"/>
        </w:rPr>
        <w:t xml:space="preserve"> In this study, we build on the knowledge about </w:t>
      </w:r>
      <w:r w:rsidRPr="009D59B1">
        <w:rPr>
          <w:sz w:val="20"/>
          <w:szCs w:val="20"/>
        </w:rPr>
        <w:t>PA</w:t>
      </w:r>
      <w:r w:rsidR="00FC3FB6" w:rsidRPr="009D59B1">
        <w:rPr>
          <w:sz w:val="20"/>
          <w:szCs w:val="20"/>
        </w:rPr>
        <w:t xml:space="preserve"> and focus on two aspects of language structure for meaning making, morphological awareness and semantic relationships. </w:t>
      </w:r>
    </w:p>
    <w:p w:rsidR="008014A0" w:rsidRDefault="008014A0" w:rsidP="008014A0">
      <w:pPr>
        <w:jc w:val="both"/>
        <w:rPr>
          <w:i/>
          <w:sz w:val="20"/>
          <w:szCs w:val="20"/>
        </w:rPr>
      </w:pPr>
    </w:p>
    <w:p w:rsidR="001210F2" w:rsidRDefault="00FC3FB6" w:rsidP="008014A0">
      <w:pPr>
        <w:jc w:val="both"/>
        <w:rPr>
          <w:i/>
          <w:sz w:val="20"/>
          <w:szCs w:val="20"/>
        </w:rPr>
      </w:pPr>
      <w:r w:rsidRPr="009D59B1">
        <w:rPr>
          <w:i/>
          <w:sz w:val="20"/>
          <w:szCs w:val="20"/>
        </w:rPr>
        <w:t>Morphological awareness</w:t>
      </w:r>
    </w:p>
    <w:p w:rsidR="00FC3FB6" w:rsidRDefault="00FC3FB6" w:rsidP="008014A0">
      <w:pPr>
        <w:jc w:val="both"/>
        <w:rPr>
          <w:sz w:val="20"/>
          <w:szCs w:val="20"/>
        </w:rPr>
      </w:pPr>
      <w:r w:rsidRPr="009D59B1">
        <w:rPr>
          <w:sz w:val="20"/>
          <w:szCs w:val="20"/>
        </w:rPr>
        <w:t xml:space="preserve">Morphological awareness (MA) is the ability to reflect on and manipulate morphemes and word formation rules (see Reed, 2008 for a review). Morphemes are the smallest meaningful units of a word – that is, a morpheme has meaning in and of itself, and a change in morpheme can alter the meaning of a word. </w:t>
      </w:r>
      <w:r w:rsidR="00E00C53" w:rsidRPr="009D59B1">
        <w:rPr>
          <w:sz w:val="20"/>
          <w:szCs w:val="20"/>
        </w:rPr>
        <w:t xml:space="preserve">They reflect the phonology (sound) and orthography (form) of a word. </w:t>
      </w:r>
      <w:r w:rsidRPr="009D59B1">
        <w:rPr>
          <w:sz w:val="20"/>
          <w:szCs w:val="20"/>
        </w:rPr>
        <w:t xml:space="preserve">For example, consider the word </w:t>
      </w:r>
      <w:r w:rsidRPr="008014A0">
        <w:rPr>
          <w:i/>
          <w:sz w:val="20"/>
          <w:szCs w:val="20"/>
        </w:rPr>
        <w:t>unintelligible.</w:t>
      </w:r>
      <w:r w:rsidRPr="009D59B1">
        <w:rPr>
          <w:sz w:val="20"/>
          <w:szCs w:val="20"/>
        </w:rPr>
        <w:t xml:space="preserve"> By removing the morpheme </w:t>
      </w:r>
      <w:r w:rsidR="008014A0">
        <w:rPr>
          <w:i/>
          <w:sz w:val="20"/>
          <w:szCs w:val="20"/>
        </w:rPr>
        <w:t>un-</w:t>
      </w:r>
      <w:r w:rsidRPr="008014A0">
        <w:rPr>
          <w:i/>
          <w:sz w:val="20"/>
          <w:szCs w:val="20"/>
        </w:rPr>
        <w:t>,</w:t>
      </w:r>
      <w:r w:rsidRPr="009D59B1">
        <w:rPr>
          <w:sz w:val="20"/>
          <w:szCs w:val="20"/>
        </w:rPr>
        <w:t xml:space="preserve"> the meaning of the word is changed 180 degrees. This construct is clearly related to PA, vocabulary knowledge, and </w:t>
      </w:r>
      <w:r w:rsidR="00E00C53" w:rsidRPr="009D59B1">
        <w:rPr>
          <w:sz w:val="20"/>
          <w:szCs w:val="20"/>
        </w:rPr>
        <w:t>reading comprehension, and i</w:t>
      </w:r>
      <w:r w:rsidRPr="009D59B1">
        <w:rPr>
          <w:sz w:val="20"/>
          <w:szCs w:val="20"/>
        </w:rPr>
        <w:t xml:space="preserve">nstruction in MA </w:t>
      </w:r>
      <w:r w:rsidR="00E00C53" w:rsidRPr="009D59B1">
        <w:rPr>
          <w:sz w:val="20"/>
          <w:szCs w:val="20"/>
        </w:rPr>
        <w:t xml:space="preserve">or word formation patterns </w:t>
      </w:r>
      <w:r w:rsidRPr="009D59B1">
        <w:rPr>
          <w:sz w:val="20"/>
          <w:szCs w:val="20"/>
        </w:rPr>
        <w:t>facilitates growth in reading skills (</w:t>
      </w:r>
      <w:proofErr w:type="spellStart"/>
      <w:r w:rsidRPr="009D59B1">
        <w:rPr>
          <w:sz w:val="20"/>
          <w:szCs w:val="20"/>
        </w:rPr>
        <w:t>Kuo</w:t>
      </w:r>
      <w:proofErr w:type="spellEnd"/>
      <w:r w:rsidRPr="009D59B1">
        <w:rPr>
          <w:sz w:val="20"/>
          <w:szCs w:val="20"/>
        </w:rPr>
        <w:t xml:space="preserve"> &amp; Anderson, 2006; Nagy, </w:t>
      </w:r>
      <w:proofErr w:type="spellStart"/>
      <w:r w:rsidRPr="009D59B1">
        <w:rPr>
          <w:sz w:val="20"/>
          <w:szCs w:val="20"/>
        </w:rPr>
        <w:t>Berninger</w:t>
      </w:r>
      <w:proofErr w:type="spellEnd"/>
      <w:r w:rsidRPr="009D59B1">
        <w:rPr>
          <w:sz w:val="20"/>
          <w:szCs w:val="20"/>
        </w:rPr>
        <w:t xml:space="preserve">, Abbott, Vaughan, &amp; </w:t>
      </w:r>
      <w:proofErr w:type="spellStart"/>
      <w:r w:rsidRPr="009D59B1">
        <w:rPr>
          <w:sz w:val="20"/>
          <w:szCs w:val="20"/>
        </w:rPr>
        <w:t>Vermeulen</w:t>
      </w:r>
      <w:proofErr w:type="spellEnd"/>
      <w:r w:rsidRPr="009D59B1">
        <w:rPr>
          <w:sz w:val="20"/>
          <w:szCs w:val="20"/>
        </w:rPr>
        <w:t xml:space="preserve">, 2003; Nagy, </w:t>
      </w:r>
      <w:proofErr w:type="spellStart"/>
      <w:r w:rsidRPr="009D59B1">
        <w:rPr>
          <w:sz w:val="20"/>
          <w:szCs w:val="20"/>
        </w:rPr>
        <w:t>Berninger</w:t>
      </w:r>
      <w:proofErr w:type="spellEnd"/>
      <w:r w:rsidRPr="009D59B1">
        <w:rPr>
          <w:sz w:val="20"/>
          <w:szCs w:val="20"/>
        </w:rPr>
        <w:t xml:space="preserve">, &amp; Abbott, 2006). </w:t>
      </w:r>
    </w:p>
    <w:p w:rsidR="00D6658F" w:rsidRDefault="00D6658F" w:rsidP="008014A0">
      <w:pPr>
        <w:jc w:val="both"/>
        <w:rPr>
          <w:sz w:val="20"/>
          <w:szCs w:val="20"/>
        </w:rPr>
      </w:pPr>
    </w:p>
    <w:p w:rsidR="00D6658F" w:rsidRDefault="00D6658F" w:rsidP="008014A0">
      <w:pPr>
        <w:jc w:val="both"/>
        <w:rPr>
          <w:sz w:val="20"/>
          <w:szCs w:val="20"/>
        </w:rPr>
      </w:pPr>
    </w:p>
    <w:p w:rsidR="00D6658F" w:rsidRPr="009D59B1" w:rsidRDefault="00D6658F" w:rsidP="008014A0">
      <w:pPr>
        <w:jc w:val="both"/>
        <w:rPr>
          <w:sz w:val="20"/>
          <w:szCs w:val="20"/>
        </w:rPr>
      </w:pPr>
    </w:p>
    <w:p w:rsidR="001210F2" w:rsidRDefault="00FC3FB6" w:rsidP="008014A0">
      <w:pPr>
        <w:jc w:val="both"/>
        <w:rPr>
          <w:sz w:val="20"/>
          <w:szCs w:val="20"/>
        </w:rPr>
      </w:pPr>
      <w:r w:rsidRPr="009D59B1">
        <w:rPr>
          <w:i/>
          <w:sz w:val="20"/>
          <w:szCs w:val="20"/>
        </w:rPr>
        <w:lastRenderedPageBreak/>
        <w:t>Semantic relationships</w:t>
      </w:r>
    </w:p>
    <w:p w:rsidR="0011454E" w:rsidRPr="009D59B1" w:rsidRDefault="00FC3FB6" w:rsidP="008014A0">
      <w:pPr>
        <w:jc w:val="both"/>
        <w:rPr>
          <w:sz w:val="20"/>
          <w:szCs w:val="20"/>
        </w:rPr>
      </w:pPr>
      <w:r w:rsidRPr="009D59B1">
        <w:rPr>
          <w:sz w:val="20"/>
          <w:szCs w:val="20"/>
        </w:rPr>
        <w:t>Semantic relationship (SR) skills include</w:t>
      </w:r>
      <w:r w:rsidR="0034381F" w:rsidRPr="009D59B1">
        <w:rPr>
          <w:sz w:val="20"/>
          <w:szCs w:val="20"/>
        </w:rPr>
        <w:t xml:space="preserve"> </w:t>
      </w:r>
      <w:r w:rsidRPr="009D59B1">
        <w:rPr>
          <w:sz w:val="20"/>
          <w:szCs w:val="20"/>
        </w:rPr>
        <w:t>recogni</w:t>
      </w:r>
      <w:r w:rsidR="0034381F" w:rsidRPr="009D59B1">
        <w:rPr>
          <w:sz w:val="20"/>
          <w:szCs w:val="20"/>
        </w:rPr>
        <w:t>zing and using</w:t>
      </w:r>
      <w:r w:rsidRPr="009D59B1">
        <w:rPr>
          <w:sz w:val="20"/>
          <w:szCs w:val="20"/>
        </w:rPr>
        <w:t xml:space="preserve"> knowledge about the relationships among words based on their meanings (as opposed to their phonological or orthographic forms; see </w:t>
      </w:r>
      <w:proofErr w:type="spellStart"/>
      <w:r w:rsidRPr="009D59B1">
        <w:rPr>
          <w:sz w:val="20"/>
          <w:szCs w:val="20"/>
        </w:rPr>
        <w:t>Berends</w:t>
      </w:r>
      <w:proofErr w:type="spellEnd"/>
      <w:r w:rsidRPr="009D59B1">
        <w:rPr>
          <w:sz w:val="20"/>
          <w:szCs w:val="20"/>
        </w:rPr>
        <w:t xml:space="preserve"> &amp; </w:t>
      </w:r>
      <w:proofErr w:type="spellStart"/>
      <w:r w:rsidRPr="009D59B1">
        <w:rPr>
          <w:sz w:val="20"/>
          <w:szCs w:val="20"/>
        </w:rPr>
        <w:t>Reitsma</w:t>
      </w:r>
      <w:proofErr w:type="spellEnd"/>
      <w:r w:rsidRPr="009D59B1">
        <w:rPr>
          <w:sz w:val="20"/>
          <w:szCs w:val="20"/>
        </w:rPr>
        <w:t xml:space="preserve">, 2006). This is achieved by focusing on semantic features of words, the minimal contrastive elements of meaning. </w:t>
      </w:r>
      <w:r w:rsidR="0034381F" w:rsidRPr="009D59B1">
        <w:rPr>
          <w:sz w:val="20"/>
          <w:szCs w:val="20"/>
        </w:rPr>
        <w:t xml:space="preserve">In other words, </w:t>
      </w:r>
      <w:r w:rsidR="0011454E" w:rsidRPr="009D59B1">
        <w:rPr>
          <w:sz w:val="20"/>
          <w:szCs w:val="20"/>
        </w:rPr>
        <w:t>this teaching draws attention to</w:t>
      </w:r>
      <w:r w:rsidR="0034381F" w:rsidRPr="009D59B1">
        <w:rPr>
          <w:sz w:val="20"/>
          <w:szCs w:val="20"/>
        </w:rPr>
        <w:t xml:space="preserve"> the most fundamental similarities and differences among word meanings</w:t>
      </w:r>
      <w:r w:rsidR="0011454E" w:rsidRPr="009D59B1">
        <w:rPr>
          <w:sz w:val="20"/>
          <w:szCs w:val="20"/>
        </w:rPr>
        <w:t xml:space="preserve"> in order to develop and strengthen semantic networks</w:t>
      </w:r>
      <w:r w:rsidR="0034381F" w:rsidRPr="009D59B1">
        <w:rPr>
          <w:sz w:val="20"/>
          <w:szCs w:val="20"/>
        </w:rPr>
        <w:t xml:space="preserve">. </w:t>
      </w:r>
      <w:r w:rsidRPr="009D59B1">
        <w:rPr>
          <w:sz w:val="20"/>
          <w:szCs w:val="20"/>
        </w:rPr>
        <w:t>This type of teaching requires teachers and students to go much deeper into their understanding of words, and talk about multiple meanings and connotations.</w:t>
      </w:r>
    </w:p>
    <w:p w:rsidR="008014A0" w:rsidRDefault="008014A0" w:rsidP="008014A0">
      <w:pPr>
        <w:jc w:val="both"/>
        <w:rPr>
          <w:sz w:val="20"/>
          <w:szCs w:val="20"/>
        </w:rPr>
      </w:pPr>
    </w:p>
    <w:p w:rsidR="00FC3FB6" w:rsidRPr="009D59B1" w:rsidRDefault="00FC3FB6" w:rsidP="008014A0">
      <w:pPr>
        <w:jc w:val="both"/>
        <w:rPr>
          <w:sz w:val="20"/>
          <w:szCs w:val="20"/>
        </w:rPr>
      </w:pPr>
      <w:r w:rsidRPr="009D59B1">
        <w:rPr>
          <w:sz w:val="20"/>
          <w:szCs w:val="20"/>
        </w:rPr>
        <w:t>For example, teachers may use a semantic feature analysis to teach a group of related concepts by creating a matrix. On the left is a list of words that share some features but not others. Across the top are words that are features of the w</w:t>
      </w:r>
      <w:r w:rsidR="003974F4" w:rsidRPr="009D59B1">
        <w:rPr>
          <w:sz w:val="20"/>
          <w:szCs w:val="20"/>
        </w:rPr>
        <w:t>ords on the left. In Figure 1</w:t>
      </w:r>
      <w:r w:rsidRPr="009D59B1">
        <w:rPr>
          <w:sz w:val="20"/>
          <w:szCs w:val="20"/>
        </w:rPr>
        <w:t xml:space="preserve">, we see </w:t>
      </w:r>
      <w:r w:rsidRPr="009D59B1">
        <w:rPr>
          <w:i/>
          <w:sz w:val="20"/>
          <w:szCs w:val="20"/>
        </w:rPr>
        <w:t>camouflage</w:t>
      </w:r>
      <w:r w:rsidRPr="009D59B1">
        <w:rPr>
          <w:sz w:val="20"/>
          <w:szCs w:val="20"/>
        </w:rPr>
        <w:t xml:space="preserve"> and </w:t>
      </w:r>
      <w:r w:rsidRPr="009D59B1">
        <w:rPr>
          <w:i/>
          <w:sz w:val="20"/>
          <w:szCs w:val="20"/>
        </w:rPr>
        <w:t>armor</w:t>
      </w:r>
      <w:r w:rsidRPr="009D59B1">
        <w:rPr>
          <w:sz w:val="20"/>
          <w:szCs w:val="20"/>
        </w:rPr>
        <w:t xml:space="preserve">. The most common image of camouflage is likely to be </w:t>
      </w:r>
      <w:proofErr w:type="gramStart"/>
      <w:r w:rsidRPr="009D59B1">
        <w:rPr>
          <w:i/>
          <w:sz w:val="20"/>
          <w:szCs w:val="20"/>
        </w:rPr>
        <w:t>drab</w:t>
      </w:r>
      <w:r w:rsidRPr="009D59B1">
        <w:rPr>
          <w:sz w:val="20"/>
          <w:szCs w:val="20"/>
        </w:rPr>
        <w:t>,</w:t>
      </w:r>
      <w:proofErr w:type="gramEnd"/>
      <w:r w:rsidRPr="009D59B1">
        <w:rPr>
          <w:sz w:val="20"/>
          <w:szCs w:val="20"/>
        </w:rPr>
        <w:t xml:space="preserve"> and that of armor likely to be </w:t>
      </w:r>
      <w:r w:rsidRPr="009D59B1">
        <w:rPr>
          <w:i/>
          <w:sz w:val="20"/>
          <w:szCs w:val="20"/>
        </w:rPr>
        <w:t>bright</w:t>
      </w:r>
      <w:r w:rsidRPr="009D59B1">
        <w:rPr>
          <w:sz w:val="20"/>
          <w:szCs w:val="20"/>
        </w:rPr>
        <w:t xml:space="preserve">. However, true understanding of these two concepts includes the understanding that they may look different in different contexts, however they always offer </w:t>
      </w:r>
      <w:r w:rsidRPr="009D59B1">
        <w:rPr>
          <w:i/>
          <w:sz w:val="20"/>
          <w:szCs w:val="20"/>
        </w:rPr>
        <w:t>protection</w:t>
      </w:r>
      <w:r w:rsidRPr="009D59B1">
        <w:rPr>
          <w:sz w:val="20"/>
          <w:szCs w:val="20"/>
        </w:rPr>
        <w:t>.  This exposure to word meanings, examples and non-examples and the subsequent cognitive operations that arise as a result of this input strengthen semantic networks, and children iteratively develop understanding of patterns in word meanings (Smith &amp; Samuelson, 2003).</w:t>
      </w:r>
    </w:p>
    <w:p w:rsidR="006C2ACF" w:rsidRPr="009D59B1" w:rsidRDefault="003940FB" w:rsidP="009D59B1">
      <w:pPr>
        <w:ind w:firstLine="720"/>
        <w:jc w:val="both"/>
        <w:rPr>
          <w:sz w:val="20"/>
          <w:szCs w:val="20"/>
        </w:rPr>
      </w:pPr>
      <w:r>
        <w:rPr>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2.05pt;margin-top:13.4pt;width:378pt;height:206.55pt;z-index:251657728;mso-wrap-edited:f" wrapcoords="-28 0 -28 21494 21600 21494 21600 0 -28 0">
            <v:imagedata r:id="rId7" o:title=""/>
            <w10:wrap type="tight"/>
          </v:shape>
          <o:OLEObject Type="Embed" ProgID="Excel.Sheet.8" ShapeID="_x0000_s1027" DrawAspect="Content" ObjectID="_1412149660" r:id="rId8"/>
        </w:pict>
      </w:r>
    </w:p>
    <w:p w:rsidR="006C2ACF" w:rsidRPr="009D59B1" w:rsidRDefault="006C2ACF" w:rsidP="009D59B1">
      <w:pPr>
        <w:ind w:firstLine="720"/>
        <w:jc w:val="both"/>
        <w:rPr>
          <w:sz w:val="20"/>
          <w:szCs w:val="20"/>
        </w:rPr>
      </w:pPr>
    </w:p>
    <w:p w:rsidR="006C2ACF" w:rsidRPr="009D59B1" w:rsidRDefault="006C2ACF" w:rsidP="009D59B1">
      <w:pPr>
        <w:ind w:firstLine="720"/>
        <w:jc w:val="both"/>
        <w:rPr>
          <w:sz w:val="20"/>
          <w:szCs w:val="20"/>
        </w:rPr>
      </w:pPr>
    </w:p>
    <w:p w:rsidR="006C2ACF" w:rsidRPr="009D59B1" w:rsidRDefault="006C2ACF" w:rsidP="009D59B1">
      <w:pPr>
        <w:ind w:firstLine="720"/>
        <w:jc w:val="both"/>
        <w:rPr>
          <w:sz w:val="20"/>
          <w:szCs w:val="20"/>
        </w:rPr>
      </w:pPr>
    </w:p>
    <w:p w:rsidR="006C2ACF" w:rsidRPr="009D59B1" w:rsidRDefault="006C2ACF" w:rsidP="009D59B1">
      <w:pPr>
        <w:ind w:firstLine="720"/>
        <w:jc w:val="both"/>
        <w:rPr>
          <w:sz w:val="20"/>
          <w:szCs w:val="20"/>
        </w:rPr>
      </w:pPr>
    </w:p>
    <w:p w:rsidR="006C2ACF" w:rsidRPr="009D59B1" w:rsidRDefault="006C2ACF" w:rsidP="009D59B1">
      <w:pPr>
        <w:ind w:firstLine="720"/>
        <w:jc w:val="both"/>
        <w:rPr>
          <w:sz w:val="20"/>
          <w:szCs w:val="20"/>
        </w:rPr>
      </w:pPr>
    </w:p>
    <w:p w:rsidR="00F67141" w:rsidRDefault="00F67141" w:rsidP="008014A0">
      <w:pPr>
        <w:jc w:val="both"/>
        <w:rPr>
          <w:sz w:val="20"/>
          <w:szCs w:val="20"/>
        </w:rPr>
      </w:pPr>
    </w:p>
    <w:p w:rsidR="00F67141" w:rsidRDefault="00F67141" w:rsidP="008014A0">
      <w:pPr>
        <w:jc w:val="both"/>
        <w:rPr>
          <w:sz w:val="20"/>
          <w:szCs w:val="20"/>
        </w:rPr>
      </w:pPr>
    </w:p>
    <w:p w:rsidR="00F67141" w:rsidRDefault="00F67141" w:rsidP="008014A0">
      <w:pPr>
        <w:jc w:val="both"/>
        <w:rPr>
          <w:sz w:val="20"/>
          <w:szCs w:val="20"/>
        </w:rPr>
      </w:pPr>
    </w:p>
    <w:p w:rsidR="00F67141" w:rsidRDefault="00F67141" w:rsidP="008014A0">
      <w:pPr>
        <w:jc w:val="both"/>
        <w:rPr>
          <w:sz w:val="20"/>
          <w:szCs w:val="20"/>
        </w:rPr>
      </w:pPr>
    </w:p>
    <w:p w:rsidR="00F67141" w:rsidRDefault="00F67141" w:rsidP="008014A0">
      <w:pPr>
        <w:jc w:val="both"/>
        <w:rPr>
          <w:sz w:val="20"/>
          <w:szCs w:val="20"/>
        </w:rPr>
      </w:pPr>
    </w:p>
    <w:p w:rsidR="00F67141" w:rsidRDefault="00F67141" w:rsidP="008014A0">
      <w:pPr>
        <w:jc w:val="both"/>
        <w:rPr>
          <w:sz w:val="20"/>
          <w:szCs w:val="20"/>
        </w:rPr>
      </w:pPr>
    </w:p>
    <w:p w:rsidR="00F67141" w:rsidRDefault="00F67141" w:rsidP="008014A0">
      <w:pPr>
        <w:jc w:val="both"/>
        <w:rPr>
          <w:sz w:val="20"/>
          <w:szCs w:val="20"/>
        </w:rPr>
      </w:pPr>
    </w:p>
    <w:p w:rsidR="00F67141" w:rsidRDefault="00F67141" w:rsidP="008014A0">
      <w:pPr>
        <w:jc w:val="both"/>
        <w:rPr>
          <w:sz w:val="20"/>
          <w:szCs w:val="20"/>
        </w:rPr>
      </w:pPr>
    </w:p>
    <w:p w:rsidR="00F67141" w:rsidRDefault="00F67141" w:rsidP="008014A0">
      <w:pPr>
        <w:jc w:val="both"/>
        <w:rPr>
          <w:sz w:val="20"/>
          <w:szCs w:val="20"/>
        </w:rPr>
      </w:pPr>
    </w:p>
    <w:p w:rsidR="00F67141" w:rsidRPr="00F67141" w:rsidRDefault="00F67141" w:rsidP="00F67141">
      <w:pPr>
        <w:jc w:val="center"/>
        <w:rPr>
          <w:b/>
          <w:sz w:val="20"/>
          <w:szCs w:val="20"/>
        </w:rPr>
      </w:pPr>
      <w:proofErr w:type="gramStart"/>
      <w:r w:rsidRPr="00F67141">
        <w:rPr>
          <w:b/>
          <w:sz w:val="20"/>
          <w:szCs w:val="20"/>
        </w:rPr>
        <w:t>Figure 1.</w:t>
      </w:r>
      <w:proofErr w:type="gramEnd"/>
      <w:r w:rsidRPr="00F67141">
        <w:rPr>
          <w:b/>
          <w:sz w:val="20"/>
          <w:szCs w:val="20"/>
        </w:rPr>
        <w:t xml:space="preserve"> Example of Semantic Feature Analysis</w:t>
      </w:r>
    </w:p>
    <w:p w:rsidR="00F67141" w:rsidRDefault="00F67141" w:rsidP="008014A0">
      <w:pPr>
        <w:jc w:val="both"/>
        <w:rPr>
          <w:sz w:val="20"/>
          <w:szCs w:val="20"/>
        </w:rPr>
      </w:pPr>
    </w:p>
    <w:p w:rsidR="00FC3FB6" w:rsidRPr="009D59B1" w:rsidRDefault="00FC3FB6" w:rsidP="008014A0">
      <w:pPr>
        <w:jc w:val="both"/>
        <w:rPr>
          <w:sz w:val="20"/>
          <w:szCs w:val="20"/>
        </w:rPr>
      </w:pPr>
      <w:r w:rsidRPr="009D59B1">
        <w:rPr>
          <w:sz w:val="20"/>
          <w:szCs w:val="20"/>
        </w:rPr>
        <w:t>Semantic relationships are often a component of multi-faceted vocabulary instruction</w:t>
      </w:r>
      <w:r w:rsidR="0034381F" w:rsidRPr="009D59B1">
        <w:rPr>
          <w:sz w:val="20"/>
          <w:szCs w:val="20"/>
        </w:rPr>
        <w:t xml:space="preserve"> in general classroom instruction</w:t>
      </w:r>
      <w:r w:rsidRPr="009D59B1">
        <w:rPr>
          <w:sz w:val="20"/>
          <w:szCs w:val="20"/>
        </w:rPr>
        <w:t xml:space="preserve">, although not always explicitly categorized as such. In a </w:t>
      </w:r>
      <w:r w:rsidR="0011454E" w:rsidRPr="009D59B1">
        <w:rPr>
          <w:sz w:val="20"/>
          <w:szCs w:val="20"/>
        </w:rPr>
        <w:t>narrower</w:t>
      </w:r>
      <w:r w:rsidRPr="009D59B1">
        <w:rPr>
          <w:sz w:val="20"/>
          <w:szCs w:val="20"/>
        </w:rPr>
        <w:t xml:space="preserve"> band of research, explicitly teaching students with learning disabilities (LD) how to actively process semantic relationships has been demonstrated to be an effective instructional method for increasing vocabulary and reading comprehension (</w:t>
      </w:r>
      <w:proofErr w:type="spellStart"/>
      <w:r w:rsidRPr="009D59B1">
        <w:rPr>
          <w:sz w:val="20"/>
          <w:szCs w:val="20"/>
        </w:rPr>
        <w:t>Bos</w:t>
      </w:r>
      <w:proofErr w:type="spellEnd"/>
      <w:r w:rsidRPr="009D59B1">
        <w:rPr>
          <w:sz w:val="20"/>
          <w:szCs w:val="20"/>
        </w:rPr>
        <w:t xml:space="preserve"> &amp; Anders, 1990; </w:t>
      </w:r>
      <w:proofErr w:type="spellStart"/>
      <w:r w:rsidRPr="009D59B1">
        <w:rPr>
          <w:sz w:val="20"/>
          <w:szCs w:val="20"/>
        </w:rPr>
        <w:t>Carnine</w:t>
      </w:r>
      <w:proofErr w:type="spellEnd"/>
      <w:r w:rsidRPr="009D59B1">
        <w:rPr>
          <w:sz w:val="20"/>
          <w:szCs w:val="20"/>
        </w:rPr>
        <w:t xml:space="preserve"> &amp; </w:t>
      </w:r>
      <w:proofErr w:type="spellStart"/>
      <w:r w:rsidRPr="009D59B1">
        <w:rPr>
          <w:sz w:val="20"/>
          <w:szCs w:val="20"/>
        </w:rPr>
        <w:t>Carnine</w:t>
      </w:r>
      <w:proofErr w:type="spellEnd"/>
      <w:r w:rsidRPr="009D59B1">
        <w:rPr>
          <w:sz w:val="20"/>
          <w:szCs w:val="20"/>
        </w:rPr>
        <w:t xml:space="preserve">, 2004; </w:t>
      </w:r>
      <w:proofErr w:type="spellStart"/>
      <w:r w:rsidRPr="009D59B1">
        <w:rPr>
          <w:sz w:val="20"/>
          <w:szCs w:val="20"/>
        </w:rPr>
        <w:t>Lovitt</w:t>
      </w:r>
      <w:proofErr w:type="spellEnd"/>
      <w:r w:rsidRPr="009D59B1">
        <w:rPr>
          <w:sz w:val="20"/>
          <w:szCs w:val="20"/>
        </w:rPr>
        <w:t xml:space="preserve"> &amp; Horton, 1994; e.g., </w:t>
      </w:r>
      <w:proofErr w:type="spellStart"/>
      <w:r w:rsidRPr="009D59B1">
        <w:rPr>
          <w:sz w:val="20"/>
          <w:szCs w:val="20"/>
        </w:rPr>
        <w:t>Lubliner</w:t>
      </w:r>
      <w:proofErr w:type="spellEnd"/>
      <w:r w:rsidRPr="009D59B1">
        <w:rPr>
          <w:sz w:val="20"/>
          <w:szCs w:val="20"/>
        </w:rPr>
        <w:t xml:space="preserve"> &amp; Smetana, 2005). These methods included activities such as semantic feature analysis and concept mapping.</w:t>
      </w:r>
    </w:p>
    <w:p w:rsidR="008014A0" w:rsidRDefault="008014A0" w:rsidP="008014A0">
      <w:pPr>
        <w:jc w:val="both"/>
        <w:rPr>
          <w:sz w:val="20"/>
          <w:szCs w:val="20"/>
        </w:rPr>
      </w:pPr>
    </w:p>
    <w:p w:rsidR="001210F2" w:rsidRDefault="00FC3FB6" w:rsidP="008014A0">
      <w:pPr>
        <w:jc w:val="both"/>
        <w:rPr>
          <w:sz w:val="20"/>
          <w:szCs w:val="20"/>
        </w:rPr>
      </w:pPr>
      <w:r w:rsidRPr="009D59B1">
        <w:rPr>
          <w:sz w:val="20"/>
          <w:szCs w:val="20"/>
        </w:rPr>
        <w:t>Older studies have focused on semantic relationships for EL and found similar results for EL students with LD (</w:t>
      </w:r>
      <w:proofErr w:type="spellStart"/>
      <w:r w:rsidRPr="009D59B1">
        <w:rPr>
          <w:sz w:val="20"/>
          <w:szCs w:val="20"/>
        </w:rPr>
        <w:t>Bos</w:t>
      </w:r>
      <w:proofErr w:type="spellEnd"/>
      <w:r w:rsidRPr="009D59B1">
        <w:rPr>
          <w:sz w:val="20"/>
          <w:szCs w:val="20"/>
        </w:rPr>
        <w:t>, Allen, &amp; Scanlon, 1989), and found greater impact on vocabulary than instruction in context clues (</w:t>
      </w:r>
      <w:proofErr w:type="spellStart"/>
      <w:r w:rsidRPr="009D59B1">
        <w:rPr>
          <w:sz w:val="20"/>
          <w:szCs w:val="20"/>
        </w:rPr>
        <w:t>Margosein</w:t>
      </w:r>
      <w:proofErr w:type="spellEnd"/>
      <w:r w:rsidRPr="009D59B1">
        <w:rPr>
          <w:sz w:val="20"/>
          <w:szCs w:val="20"/>
        </w:rPr>
        <w:t xml:space="preserve">, </w:t>
      </w:r>
      <w:proofErr w:type="spellStart"/>
      <w:r w:rsidRPr="009D59B1">
        <w:rPr>
          <w:sz w:val="20"/>
          <w:szCs w:val="20"/>
        </w:rPr>
        <w:t>Pascarella</w:t>
      </w:r>
      <w:proofErr w:type="spellEnd"/>
      <w:r w:rsidRPr="009D59B1">
        <w:rPr>
          <w:sz w:val="20"/>
          <w:szCs w:val="20"/>
        </w:rPr>
        <w:t xml:space="preserve">, &amp; </w:t>
      </w:r>
      <w:proofErr w:type="spellStart"/>
      <w:r w:rsidRPr="009D59B1">
        <w:rPr>
          <w:sz w:val="20"/>
          <w:szCs w:val="20"/>
        </w:rPr>
        <w:t>Pflaum</w:t>
      </w:r>
      <w:proofErr w:type="spellEnd"/>
      <w:r w:rsidRPr="009D59B1">
        <w:rPr>
          <w:sz w:val="20"/>
          <w:szCs w:val="20"/>
        </w:rPr>
        <w:t xml:space="preserve">, 1981). However, more recent intervention studies aimed at teaching vocabulary to EL typically instruct a number of components, including PA, vocabulary, fluency and word analysis, and these components are not usually well-specified (e.g., Carlo, August, &amp; Snow, 2005; McLaughlin et al., 2000). Therefore while attention to semantic relationships may have been one component of these interventions or instructional packages, its role is unclear when so many other aspects of reading are addressed. </w:t>
      </w:r>
    </w:p>
    <w:p w:rsidR="00D6658F" w:rsidRPr="00D6658F" w:rsidRDefault="00D6658F" w:rsidP="008014A0">
      <w:pPr>
        <w:jc w:val="both"/>
        <w:rPr>
          <w:sz w:val="20"/>
          <w:szCs w:val="20"/>
        </w:rPr>
      </w:pPr>
    </w:p>
    <w:p w:rsidR="008014A0" w:rsidRPr="008014A0" w:rsidRDefault="00FC3FB6" w:rsidP="008014A0">
      <w:pPr>
        <w:jc w:val="both"/>
        <w:rPr>
          <w:i/>
          <w:sz w:val="20"/>
          <w:szCs w:val="20"/>
        </w:rPr>
      </w:pPr>
      <w:r w:rsidRPr="009D59B1">
        <w:rPr>
          <w:i/>
          <w:sz w:val="20"/>
          <w:szCs w:val="20"/>
        </w:rPr>
        <w:t>Purpose</w:t>
      </w:r>
    </w:p>
    <w:p w:rsidR="00FC3FB6" w:rsidRPr="009D59B1" w:rsidRDefault="00FC3FB6" w:rsidP="008014A0">
      <w:pPr>
        <w:jc w:val="both"/>
        <w:rPr>
          <w:sz w:val="20"/>
          <w:szCs w:val="20"/>
        </w:rPr>
      </w:pPr>
      <w:r w:rsidRPr="009D59B1">
        <w:rPr>
          <w:sz w:val="20"/>
          <w:szCs w:val="20"/>
        </w:rPr>
        <w:t xml:space="preserve">The purpose of this study was to examine the effectiveness of a vocabulary plus PAD intervention, given the importance of both word- and text-level skills in early reading intervention. McMaster and her </w:t>
      </w:r>
      <w:r w:rsidRPr="009D59B1">
        <w:rPr>
          <w:sz w:val="20"/>
          <w:szCs w:val="20"/>
        </w:rPr>
        <w:lastRenderedPageBreak/>
        <w:t xml:space="preserve">colleagues (McMaster, Kung, Han, &amp; Cao, 2008) have asked </w:t>
      </w:r>
      <w:r w:rsidRPr="008014A0">
        <w:rPr>
          <w:i/>
          <w:sz w:val="20"/>
          <w:szCs w:val="20"/>
        </w:rPr>
        <w:t>whether general classroom instruction can be designed to meet the needs of many English Learners, such that more intensive interventions are necessary for only the mo</w:t>
      </w:r>
      <w:r w:rsidR="008014A0">
        <w:rPr>
          <w:i/>
          <w:sz w:val="20"/>
          <w:szCs w:val="20"/>
        </w:rPr>
        <w:t>st severely struggling students</w:t>
      </w:r>
      <w:r w:rsidRPr="008014A0">
        <w:rPr>
          <w:i/>
          <w:sz w:val="20"/>
          <w:szCs w:val="20"/>
        </w:rPr>
        <w:t xml:space="preserve"> </w:t>
      </w:r>
      <w:r w:rsidRPr="009D59B1">
        <w:rPr>
          <w:sz w:val="20"/>
          <w:szCs w:val="20"/>
        </w:rPr>
        <w:t>(p. 195)</w:t>
      </w:r>
      <w:r w:rsidRPr="009D59B1">
        <w:rPr>
          <w:i/>
          <w:sz w:val="20"/>
          <w:szCs w:val="20"/>
        </w:rPr>
        <w:t>.</w:t>
      </w:r>
      <w:r w:rsidRPr="009D59B1">
        <w:rPr>
          <w:sz w:val="20"/>
          <w:szCs w:val="20"/>
        </w:rPr>
        <w:t xml:space="preserve"> Our approach then, was to design an intervention model that augmented existing classroom curriculum but took place in the classroom during regularly scheduled language arts instruction. </w:t>
      </w:r>
      <w:r w:rsidR="0034381F" w:rsidRPr="009D59B1">
        <w:rPr>
          <w:sz w:val="20"/>
          <w:szCs w:val="20"/>
        </w:rPr>
        <w:t>Instruction was designed to facilitate independent word learning through focus on language structure.</w:t>
      </w:r>
    </w:p>
    <w:p w:rsidR="008014A0" w:rsidRDefault="008014A0" w:rsidP="008014A0">
      <w:pPr>
        <w:jc w:val="both"/>
        <w:rPr>
          <w:i/>
          <w:sz w:val="20"/>
          <w:szCs w:val="20"/>
        </w:rPr>
      </w:pPr>
    </w:p>
    <w:p w:rsidR="001210F2" w:rsidRDefault="00FC3FB6" w:rsidP="008014A0">
      <w:pPr>
        <w:jc w:val="both"/>
        <w:rPr>
          <w:i/>
          <w:sz w:val="20"/>
          <w:szCs w:val="20"/>
        </w:rPr>
      </w:pPr>
      <w:r w:rsidRPr="009D59B1">
        <w:rPr>
          <w:i/>
          <w:sz w:val="20"/>
          <w:szCs w:val="20"/>
        </w:rPr>
        <w:t>Research questions</w:t>
      </w:r>
    </w:p>
    <w:p w:rsidR="00FC3FB6" w:rsidRPr="009D59B1" w:rsidRDefault="00FC3FB6" w:rsidP="008014A0">
      <w:pPr>
        <w:jc w:val="both"/>
        <w:rPr>
          <w:sz w:val="20"/>
          <w:szCs w:val="20"/>
        </w:rPr>
      </w:pPr>
      <w:r w:rsidRPr="009D59B1">
        <w:rPr>
          <w:sz w:val="20"/>
          <w:szCs w:val="20"/>
        </w:rPr>
        <w:t xml:space="preserve">Given the same amount of instructional time, did students in the vocabulary plus condition (70% time on vocabulary and 30% time </w:t>
      </w:r>
      <w:r w:rsidR="0034381F" w:rsidRPr="009D59B1">
        <w:rPr>
          <w:sz w:val="20"/>
          <w:szCs w:val="20"/>
        </w:rPr>
        <w:t>on PA and decoding</w:t>
      </w:r>
      <w:r w:rsidRPr="009D59B1">
        <w:rPr>
          <w:sz w:val="20"/>
          <w:szCs w:val="20"/>
        </w:rPr>
        <w:t>) demonstrate greater gains on vocabulary and comparable gains on phonological decoding when compared to students who spent 100% of the supplementary intervention on PA and decoding (PAD condition)? Second, we were particularly interested in the effects on those students who were initially lowest performing on phonological decoding. In the vocabulary condition, do initially low performers show as much growth as their peers on those measures?</w:t>
      </w:r>
    </w:p>
    <w:p w:rsidR="008014A0" w:rsidRDefault="008014A0" w:rsidP="009D59B1">
      <w:pPr>
        <w:jc w:val="both"/>
        <w:rPr>
          <w:i/>
          <w:sz w:val="20"/>
          <w:szCs w:val="20"/>
        </w:rPr>
      </w:pPr>
    </w:p>
    <w:p w:rsidR="00FC3FB6" w:rsidRPr="00D6658F" w:rsidRDefault="00FC3FB6" w:rsidP="009D59B1">
      <w:pPr>
        <w:jc w:val="both"/>
        <w:rPr>
          <w:b/>
          <w:sz w:val="20"/>
          <w:szCs w:val="20"/>
        </w:rPr>
      </w:pPr>
      <w:r w:rsidRPr="00D6658F">
        <w:rPr>
          <w:b/>
          <w:sz w:val="20"/>
          <w:szCs w:val="20"/>
        </w:rPr>
        <w:t>Method</w:t>
      </w:r>
    </w:p>
    <w:p w:rsidR="00FC3FB6" w:rsidRPr="009D59B1" w:rsidRDefault="00FC3FB6" w:rsidP="009D59B1">
      <w:pPr>
        <w:pStyle w:val="WW-Body"/>
        <w:jc w:val="both"/>
        <w:rPr>
          <w:i/>
          <w:sz w:val="20"/>
        </w:rPr>
      </w:pPr>
      <w:r w:rsidRPr="009D59B1">
        <w:rPr>
          <w:i/>
          <w:sz w:val="20"/>
        </w:rPr>
        <w:t>Participants</w:t>
      </w:r>
    </w:p>
    <w:p w:rsidR="00FC3FB6" w:rsidRPr="009D59B1" w:rsidRDefault="00FC3FB6" w:rsidP="008014A0">
      <w:pPr>
        <w:pStyle w:val="WW-Body"/>
        <w:jc w:val="both"/>
        <w:rPr>
          <w:sz w:val="20"/>
          <w:lang w:eastAsia="ja-JP"/>
        </w:rPr>
      </w:pPr>
      <w:r w:rsidRPr="009D59B1">
        <w:rPr>
          <w:sz w:val="20"/>
          <w:lang w:eastAsia="ja-JP"/>
        </w:rPr>
        <w:t xml:space="preserve">The participating school was a Title I (i.e., high poverty, low achieving) southern California elementary school, and had been designated as Program Improvement Year 1 under the Federal </w:t>
      </w:r>
      <w:r w:rsidRPr="009D59B1">
        <w:rPr>
          <w:i/>
          <w:sz w:val="20"/>
          <w:lang w:eastAsia="ja-JP"/>
        </w:rPr>
        <w:t>No Child Left Behind Act of 2001</w:t>
      </w:r>
      <w:r w:rsidRPr="009D59B1">
        <w:rPr>
          <w:sz w:val="20"/>
          <w:lang w:eastAsia="ja-JP"/>
        </w:rPr>
        <w:t xml:space="preserve"> (CA DOE, Feb. 14, 2007). </w:t>
      </w:r>
      <w:r w:rsidRPr="009D59B1">
        <w:rPr>
          <w:sz w:val="20"/>
        </w:rPr>
        <w:t>Ninety-three percent of students</w:t>
      </w:r>
      <w:r w:rsidRPr="009D59B1">
        <w:rPr>
          <w:sz w:val="20"/>
          <w:lang w:eastAsia="ja-JP"/>
        </w:rPr>
        <w:t xml:space="preserve"> were Hispanic or Latino/a, 61% were designated as English learners (ELs), and 86% received free or reduced-price lunch </w:t>
      </w:r>
      <w:r w:rsidRPr="009D59B1">
        <w:rPr>
          <w:sz w:val="20"/>
        </w:rPr>
        <w:t>(compared to 25% ELs and 51% free or reduced-price lunch in California as a whole; CA DOE, April 30, 2007)</w:t>
      </w:r>
      <w:r w:rsidRPr="009D59B1">
        <w:rPr>
          <w:sz w:val="20"/>
          <w:lang w:eastAsia="ja-JP"/>
        </w:rPr>
        <w:t>. The sampling frame comprised 97 first-grade students from five intact classrooms. English was the language of instruction. See Table 1 for participant information.</w:t>
      </w:r>
    </w:p>
    <w:p w:rsidR="008014A0" w:rsidRDefault="008014A0" w:rsidP="008014A0">
      <w:pPr>
        <w:pStyle w:val="WW-Body"/>
        <w:jc w:val="both"/>
        <w:rPr>
          <w:sz w:val="20"/>
        </w:rPr>
      </w:pPr>
    </w:p>
    <w:p w:rsidR="00FC3FB6" w:rsidRPr="009D59B1" w:rsidRDefault="00FC3FB6" w:rsidP="008014A0">
      <w:pPr>
        <w:pStyle w:val="WW-Body"/>
        <w:jc w:val="both"/>
        <w:rPr>
          <w:sz w:val="20"/>
          <w:lang w:eastAsia="ja-JP"/>
        </w:rPr>
      </w:pPr>
      <w:r w:rsidRPr="009D59B1">
        <w:rPr>
          <w:sz w:val="20"/>
        </w:rPr>
        <w:t>S</w:t>
      </w:r>
      <w:r w:rsidRPr="009D59B1">
        <w:rPr>
          <w:sz w:val="20"/>
          <w:lang w:eastAsia="ja-JP"/>
        </w:rPr>
        <w:t xml:space="preserve">ixty students were identified by the school as Limited English Proficient, with Spanish as their native language, and language information was not available for one student. The ten students identified by the school as monolingual English speakers (based on a home language survey, standardized test scores, and teacher reports) were distributed among conditions as follows: one in PAD and nine in </w:t>
      </w:r>
      <w:proofErr w:type="spellStart"/>
      <w:r w:rsidRPr="009D59B1">
        <w:rPr>
          <w:sz w:val="20"/>
          <w:lang w:eastAsia="ja-JP"/>
        </w:rPr>
        <w:t>vocab</w:t>
      </w:r>
      <w:proofErr w:type="spellEnd"/>
      <w:r w:rsidRPr="009D59B1">
        <w:rPr>
          <w:sz w:val="20"/>
          <w:lang w:eastAsia="ja-JP"/>
        </w:rPr>
        <w:t xml:space="preserve"> +. Analyses were conducted both with and without these students and exclusion of these students produced no differences in reliability of findings and negligible variation in effect sizes. No reliable pretest differences were found based on consideration of gender, instructional condition, or classroom.</w:t>
      </w:r>
    </w:p>
    <w:p w:rsidR="001210F2" w:rsidRDefault="001210F2" w:rsidP="008014A0">
      <w:pPr>
        <w:jc w:val="center"/>
        <w:rPr>
          <w:b/>
          <w:sz w:val="20"/>
          <w:szCs w:val="20"/>
        </w:rPr>
      </w:pPr>
    </w:p>
    <w:p w:rsidR="006C2ACF" w:rsidRPr="00084CAC" w:rsidRDefault="006C2ACF" w:rsidP="00084CAC">
      <w:pPr>
        <w:jc w:val="center"/>
        <w:rPr>
          <w:i/>
          <w:sz w:val="20"/>
          <w:szCs w:val="20"/>
        </w:rPr>
      </w:pPr>
      <w:proofErr w:type="gramStart"/>
      <w:r w:rsidRPr="008014A0">
        <w:rPr>
          <w:b/>
          <w:sz w:val="20"/>
          <w:szCs w:val="20"/>
        </w:rPr>
        <w:t>Table 1</w:t>
      </w:r>
      <w:r w:rsidR="008014A0">
        <w:rPr>
          <w:b/>
          <w:sz w:val="20"/>
          <w:szCs w:val="20"/>
        </w:rPr>
        <w:t>.</w:t>
      </w:r>
      <w:proofErr w:type="gramEnd"/>
      <w:r w:rsidR="008014A0">
        <w:rPr>
          <w:b/>
          <w:sz w:val="20"/>
          <w:szCs w:val="20"/>
        </w:rPr>
        <w:t xml:space="preserve"> </w:t>
      </w:r>
      <w:r w:rsidR="008014A0" w:rsidRPr="008014A0">
        <w:rPr>
          <w:b/>
          <w:sz w:val="20"/>
          <w:szCs w:val="20"/>
        </w:rPr>
        <w:t>Participant Information</w:t>
      </w:r>
    </w:p>
    <w:tbl>
      <w:tblPr>
        <w:tblW w:w="0" w:type="auto"/>
        <w:jc w:val="center"/>
        <w:tblLayout w:type="fixed"/>
        <w:tblCellMar>
          <w:left w:w="0" w:type="dxa"/>
          <w:right w:w="0" w:type="dxa"/>
        </w:tblCellMar>
        <w:tblLook w:val="0000"/>
      </w:tblPr>
      <w:tblGrid>
        <w:gridCol w:w="1890"/>
        <w:gridCol w:w="1590"/>
        <w:gridCol w:w="1590"/>
        <w:gridCol w:w="1590"/>
      </w:tblGrid>
      <w:tr w:rsidR="006C2ACF" w:rsidRPr="009D59B1" w:rsidTr="008014A0">
        <w:trPr>
          <w:trHeight w:val="300"/>
          <w:jc w:val="center"/>
        </w:trPr>
        <w:tc>
          <w:tcPr>
            <w:tcW w:w="1890" w:type="dxa"/>
            <w:tcBorders>
              <w:top w:val="single" w:sz="18" w:space="0" w:color="auto"/>
              <w:left w:val="nil"/>
              <w:bottom w:val="single" w:sz="18" w:space="0" w:color="auto"/>
              <w:right w:val="nil"/>
            </w:tcBorders>
            <w:shd w:val="clear" w:color="auto" w:fill="auto"/>
            <w:vAlign w:val="center"/>
          </w:tcPr>
          <w:p w:rsidR="006C2ACF" w:rsidRPr="009D59B1" w:rsidRDefault="006C2ACF" w:rsidP="009D59B1">
            <w:pPr>
              <w:jc w:val="both"/>
              <w:rPr>
                <w:sz w:val="20"/>
                <w:szCs w:val="20"/>
              </w:rPr>
            </w:pPr>
          </w:p>
        </w:tc>
        <w:tc>
          <w:tcPr>
            <w:tcW w:w="1590" w:type="dxa"/>
            <w:tcBorders>
              <w:top w:val="single" w:sz="18" w:space="0" w:color="auto"/>
              <w:left w:val="nil"/>
              <w:bottom w:val="single" w:sz="18" w:space="0" w:color="auto"/>
              <w:right w:val="nil"/>
            </w:tcBorders>
            <w:shd w:val="clear" w:color="auto" w:fill="auto"/>
            <w:vAlign w:val="center"/>
          </w:tcPr>
          <w:p w:rsidR="006C2ACF" w:rsidRPr="009D59B1" w:rsidRDefault="006C2ACF" w:rsidP="009D59B1">
            <w:pPr>
              <w:jc w:val="both"/>
              <w:rPr>
                <w:i/>
                <w:sz w:val="20"/>
                <w:szCs w:val="20"/>
              </w:rPr>
            </w:pPr>
            <w:r w:rsidRPr="009D59B1">
              <w:rPr>
                <w:i/>
                <w:sz w:val="20"/>
                <w:szCs w:val="20"/>
              </w:rPr>
              <w:t>PAD</w:t>
            </w:r>
          </w:p>
        </w:tc>
        <w:tc>
          <w:tcPr>
            <w:tcW w:w="1590" w:type="dxa"/>
            <w:tcBorders>
              <w:top w:val="single" w:sz="18" w:space="0" w:color="auto"/>
              <w:left w:val="nil"/>
              <w:bottom w:val="single" w:sz="18" w:space="0" w:color="auto"/>
              <w:right w:val="nil"/>
            </w:tcBorders>
            <w:shd w:val="clear" w:color="auto" w:fill="auto"/>
            <w:vAlign w:val="center"/>
          </w:tcPr>
          <w:p w:rsidR="006C2ACF" w:rsidRPr="009D59B1" w:rsidRDefault="006C2ACF" w:rsidP="009D59B1">
            <w:pPr>
              <w:jc w:val="both"/>
              <w:rPr>
                <w:i/>
                <w:sz w:val="20"/>
                <w:szCs w:val="20"/>
              </w:rPr>
            </w:pPr>
            <w:r w:rsidRPr="009D59B1">
              <w:rPr>
                <w:i/>
                <w:sz w:val="20"/>
                <w:szCs w:val="20"/>
              </w:rPr>
              <w:t>SR</w:t>
            </w:r>
          </w:p>
        </w:tc>
        <w:tc>
          <w:tcPr>
            <w:tcW w:w="1590" w:type="dxa"/>
            <w:tcBorders>
              <w:top w:val="single" w:sz="18" w:space="0" w:color="auto"/>
              <w:left w:val="nil"/>
              <w:bottom w:val="single" w:sz="18" w:space="0" w:color="auto"/>
              <w:right w:val="nil"/>
            </w:tcBorders>
            <w:shd w:val="clear" w:color="auto" w:fill="auto"/>
            <w:vAlign w:val="center"/>
          </w:tcPr>
          <w:p w:rsidR="006C2ACF" w:rsidRPr="009D59B1" w:rsidRDefault="006C2ACF" w:rsidP="009D59B1">
            <w:pPr>
              <w:jc w:val="both"/>
              <w:rPr>
                <w:i/>
                <w:sz w:val="20"/>
                <w:szCs w:val="20"/>
              </w:rPr>
            </w:pPr>
            <w:r w:rsidRPr="009D59B1">
              <w:rPr>
                <w:i/>
                <w:sz w:val="20"/>
                <w:szCs w:val="20"/>
              </w:rPr>
              <w:t>MA</w:t>
            </w:r>
          </w:p>
        </w:tc>
      </w:tr>
      <w:tr w:rsidR="006C2ACF" w:rsidRPr="009D59B1" w:rsidTr="008014A0">
        <w:trPr>
          <w:trHeight w:val="400"/>
          <w:jc w:val="center"/>
        </w:trPr>
        <w:tc>
          <w:tcPr>
            <w:tcW w:w="1890" w:type="dxa"/>
            <w:tcBorders>
              <w:top w:val="single" w:sz="18" w:space="0" w:color="auto"/>
              <w:left w:val="nil"/>
              <w:bottom w:val="nil"/>
              <w:right w:val="nil"/>
            </w:tcBorders>
            <w:shd w:val="clear" w:color="auto" w:fill="auto"/>
            <w:vAlign w:val="center"/>
          </w:tcPr>
          <w:p w:rsidR="006C2ACF" w:rsidRPr="009D59B1" w:rsidRDefault="006C2ACF" w:rsidP="009D59B1">
            <w:pPr>
              <w:jc w:val="both"/>
              <w:rPr>
                <w:i/>
                <w:sz w:val="20"/>
                <w:szCs w:val="20"/>
              </w:rPr>
            </w:pPr>
            <w:r w:rsidRPr="009D59B1">
              <w:rPr>
                <w:i/>
                <w:sz w:val="20"/>
                <w:szCs w:val="20"/>
              </w:rPr>
              <w:t>n</w:t>
            </w:r>
          </w:p>
        </w:tc>
        <w:tc>
          <w:tcPr>
            <w:tcW w:w="1590" w:type="dxa"/>
            <w:tcBorders>
              <w:top w:val="single" w:sz="18" w:space="0" w:color="auto"/>
              <w:left w:val="nil"/>
              <w:bottom w:val="nil"/>
              <w:right w:val="nil"/>
            </w:tcBorders>
            <w:shd w:val="clear" w:color="auto" w:fill="auto"/>
            <w:vAlign w:val="center"/>
          </w:tcPr>
          <w:p w:rsidR="006C2ACF" w:rsidRPr="009D59B1" w:rsidRDefault="006C2ACF" w:rsidP="009D59B1">
            <w:pPr>
              <w:jc w:val="both"/>
              <w:rPr>
                <w:sz w:val="20"/>
                <w:szCs w:val="20"/>
              </w:rPr>
            </w:pPr>
            <w:r w:rsidRPr="009D59B1">
              <w:rPr>
                <w:sz w:val="20"/>
                <w:szCs w:val="20"/>
              </w:rPr>
              <w:t>18</w:t>
            </w:r>
          </w:p>
        </w:tc>
        <w:tc>
          <w:tcPr>
            <w:tcW w:w="1590" w:type="dxa"/>
            <w:tcBorders>
              <w:top w:val="single" w:sz="18" w:space="0" w:color="auto"/>
              <w:left w:val="nil"/>
              <w:bottom w:val="nil"/>
              <w:right w:val="nil"/>
            </w:tcBorders>
            <w:shd w:val="clear" w:color="auto" w:fill="auto"/>
            <w:vAlign w:val="center"/>
          </w:tcPr>
          <w:p w:rsidR="006C2ACF" w:rsidRPr="009D59B1" w:rsidRDefault="006C2ACF" w:rsidP="009D59B1">
            <w:pPr>
              <w:jc w:val="both"/>
              <w:rPr>
                <w:sz w:val="20"/>
                <w:szCs w:val="20"/>
              </w:rPr>
            </w:pPr>
            <w:r w:rsidRPr="009D59B1">
              <w:rPr>
                <w:sz w:val="20"/>
                <w:szCs w:val="20"/>
              </w:rPr>
              <w:t>26</w:t>
            </w:r>
          </w:p>
        </w:tc>
        <w:tc>
          <w:tcPr>
            <w:tcW w:w="1590" w:type="dxa"/>
            <w:tcBorders>
              <w:top w:val="single" w:sz="18" w:space="0" w:color="auto"/>
              <w:left w:val="nil"/>
              <w:bottom w:val="nil"/>
              <w:right w:val="nil"/>
            </w:tcBorders>
            <w:shd w:val="clear" w:color="auto" w:fill="auto"/>
            <w:vAlign w:val="center"/>
          </w:tcPr>
          <w:p w:rsidR="006C2ACF" w:rsidRPr="009D59B1" w:rsidRDefault="006C2ACF" w:rsidP="009D59B1">
            <w:pPr>
              <w:jc w:val="both"/>
              <w:rPr>
                <w:sz w:val="20"/>
                <w:szCs w:val="20"/>
              </w:rPr>
            </w:pPr>
            <w:r w:rsidRPr="009D59B1">
              <w:rPr>
                <w:sz w:val="20"/>
                <w:szCs w:val="20"/>
              </w:rPr>
              <w:t>27</w:t>
            </w:r>
          </w:p>
        </w:tc>
      </w:tr>
      <w:tr w:rsidR="006C2ACF" w:rsidRPr="009D59B1" w:rsidTr="008014A0">
        <w:trPr>
          <w:trHeight w:val="400"/>
          <w:jc w:val="center"/>
        </w:trPr>
        <w:tc>
          <w:tcPr>
            <w:tcW w:w="1890" w:type="dxa"/>
            <w:tcBorders>
              <w:top w:val="nil"/>
              <w:left w:val="nil"/>
              <w:right w:val="nil"/>
            </w:tcBorders>
            <w:shd w:val="clear" w:color="auto" w:fill="auto"/>
            <w:vAlign w:val="center"/>
          </w:tcPr>
          <w:p w:rsidR="006C2ACF" w:rsidRPr="009D59B1" w:rsidRDefault="006C2ACF" w:rsidP="009D59B1">
            <w:pPr>
              <w:jc w:val="both"/>
              <w:rPr>
                <w:sz w:val="20"/>
                <w:szCs w:val="20"/>
              </w:rPr>
            </w:pPr>
            <w:r w:rsidRPr="009D59B1">
              <w:rPr>
                <w:sz w:val="20"/>
                <w:szCs w:val="20"/>
              </w:rPr>
              <w:t>% male</w:t>
            </w:r>
          </w:p>
        </w:tc>
        <w:tc>
          <w:tcPr>
            <w:tcW w:w="1590" w:type="dxa"/>
            <w:tcBorders>
              <w:top w:val="nil"/>
              <w:left w:val="nil"/>
              <w:right w:val="nil"/>
            </w:tcBorders>
            <w:shd w:val="clear" w:color="auto" w:fill="auto"/>
            <w:vAlign w:val="center"/>
          </w:tcPr>
          <w:p w:rsidR="006C2ACF" w:rsidRPr="009D59B1" w:rsidRDefault="006C2ACF" w:rsidP="009D59B1">
            <w:pPr>
              <w:jc w:val="both"/>
              <w:rPr>
                <w:sz w:val="20"/>
                <w:szCs w:val="20"/>
              </w:rPr>
            </w:pPr>
            <w:r w:rsidRPr="009D59B1">
              <w:rPr>
                <w:sz w:val="20"/>
                <w:szCs w:val="20"/>
              </w:rPr>
              <w:t>50</w:t>
            </w:r>
          </w:p>
        </w:tc>
        <w:tc>
          <w:tcPr>
            <w:tcW w:w="1590" w:type="dxa"/>
            <w:tcBorders>
              <w:top w:val="nil"/>
              <w:left w:val="nil"/>
              <w:right w:val="nil"/>
            </w:tcBorders>
            <w:shd w:val="clear" w:color="auto" w:fill="auto"/>
            <w:vAlign w:val="center"/>
          </w:tcPr>
          <w:p w:rsidR="006C2ACF" w:rsidRPr="009D59B1" w:rsidRDefault="006C2ACF" w:rsidP="009D59B1">
            <w:pPr>
              <w:jc w:val="both"/>
              <w:rPr>
                <w:sz w:val="20"/>
                <w:szCs w:val="20"/>
              </w:rPr>
            </w:pPr>
            <w:r w:rsidRPr="009D59B1">
              <w:rPr>
                <w:sz w:val="20"/>
                <w:szCs w:val="20"/>
              </w:rPr>
              <w:t>46</w:t>
            </w:r>
          </w:p>
        </w:tc>
        <w:tc>
          <w:tcPr>
            <w:tcW w:w="1590" w:type="dxa"/>
            <w:tcBorders>
              <w:top w:val="nil"/>
              <w:left w:val="nil"/>
              <w:right w:val="nil"/>
            </w:tcBorders>
            <w:shd w:val="clear" w:color="auto" w:fill="auto"/>
            <w:vAlign w:val="center"/>
          </w:tcPr>
          <w:p w:rsidR="006C2ACF" w:rsidRPr="009D59B1" w:rsidRDefault="006C2ACF" w:rsidP="009D59B1">
            <w:pPr>
              <w:jc w:val="both"/>
              <w:rPr>
                <w:sz w:val="20"/>
                <w:szCs w:val="20"/>
              </w:rPr>
            </w:pPr>
            <w:r w:rsidRPr="009D59B1">
              <w:rPr>
                <w:sz w:val="20"/>
                <w:szCs w:val="20"/>
              </w:rPr>
              <w:t>48</w:t>
            </w:r>
          </w:p>
        </w:tc>
      </w:tr>
      <w:tr w:rsidR="006C2ACF" w:rsidRPr="009D59B1" w:rsidTr="008014A0">
        <w:trPr>
          <w:trHeight w:val="400"/>
          <w:jc w:val="center"/>
        </w:trPr>
        <w:tc>
          <w:tcPr>
            <w:tcW w:w="1890" w:type="dxa"/>
            <w:tcBorders>
              <w:top w:val="nil"/>
              <w:left w:val="nil"/>
              <w:bottom w:val="nil"/>
              <w:right w:val="nil"/>
            </w:tcBorders>
            <w:shd w:val="clear" w:color="auto" w:fill="auto"/>
            <w:vAlign w:val="center"/>
          </w:tcPr>
          <w:p w:rsidR="006C2ACF" w:rsidRPr="009D59B1" w:rsidRDefault="006C2ACF" w:rsidP="009D59B1">
            <w:pPr>
              <w:jc w:val="both"/>
              <w:rPr>
                <w:sz w:val="20"/>
                <w:szCs w:val="20"/>
              </w:rPr>
            </w:pPr>
            <w:r w:rsidRPr="009D59B1">
              <w:rPr>
                <w:sz w:val="20"/>
                <w:szCs w:val="20"/>
              </w:rPr>
              <w:t>ELL status</w:t>
            </w:r>
          </w:p>
        </w:tc>
        <w:tc>
          <w:tcPr>
            <w:tcW w:w="1590" w:type="dxa"/>
            <w:tcBorders>
              <w:top w:val="nil"/>
              <w:left w:val="nil"/>
              <w:bottom w:val="nil"/>
              <w:right w:val="nil"/>
            </w:tcBorders>
            <w:shd w:val="clear" w:color="auto" w:fill="auto"/>
            <w:vAlign w:val="center"/>
          </w:tcPr>
          <w:p w:rsidR="006C2ACF" w:rsidRPr="009D59B1" w:rsidRDefault="006C2ACF" w:rsidP="009D59B1">
            <w:pPr>
              <w:jc w:val="both"/>
              <w:rPr>
                <w:sz w:val="20"/>
                <w:szCs w:val="20"/>
              </w:rPr>
            </w:pPr>
            <w:r w:rsidRPr="009D59B1">
              <w:rPr>
                <w:sz w:val="20"/>
                <w:szCs w:val="20"/>
              </w:rPr>
              <w:t>94</w:t>
            </w:r>
          </w:p>
        </w:tc>
        <w:tc>
          <w:tcPr>
            <w:tcW w:w="1590" w:type="dxa"/>
            <w:tcBorders>
              <w:top w:val="nil"/>
              <w:left w:val="nil"/>
              <w:bottom w:val="nil"/>
              <w:right w:val="nil"/>
            </w:tcBorders>
            <w:shd w:val="clear" w:color="auto" w:fill="auto"/>
            <w:vAlign w:val="center"/>
          </w:tcPr>
          <w:p w:rsidR="006C2ACF" w:rsidRPr="009D59B1" w:rsidRDefault="006C2ACF" w:rsidP="009D59B1">
            <w:pPr>
              <w:jc w:val="both"/>
              <w:rPr>
                <w:sz w:val="20"/>
                <w:szCs w:val="20"/>
              </w:rPr>
            </w:pPr>
            <w:r w:rsidRPr="009D59B1">
              <w:rPr>
                <w:sz w:val="20"/>
                <w:szCs w:val="20"/>
              </w:rPr>
              <w:t>77</w:t>
            </w:r>
          </w:p>
        </w:tc>
        <w:tc>
          <w:tcPr>
            <w:tcW w:w="1590" w:type="dxa"/>
            <w:tcBorders>
              <w:top w:val="nil"/>
              <w:left w:val="nil"/>
              <w:bottom w:val="nil"/>
              <w:right w:val="nil"/>
            </w:tcBorders>
            <w:shd w:val="clear" w:color="auto" w:fill="auto"/>
            <w:vAlign w:val="center"/>
          </w:tcPr>
          <w:p w:rsidR="006C2ACF" w:rsidRPr="009D59B1" w:rsidRDefault="006C2ACF" w:rsidP="009D59B1">
            <w:pPr>
              <w:jc w:val="both"/>
              <w:rPr>
                <w:sz w:val="20"/>
                <w:szCs w:val="20"/>
              </w:rPr>
            </w:pPr>
            <w:r w:rsidRPr="009D59B1">
              <w:rPr>
                <w:sz w:val="20"/>
                <w:szCs w:val="20"/>
              </w:rPr>
              <w:t>89</w:t>
            </w:r>
          </w:p>
        </w:tc>
      </w:tr>
      <w:tr w:rsidR="006C2ACF" w:rsidRPr="009D59B1" w:rsidTr="008014A0">
        <w:trPr>
          <w:trHeight w:val="400"/>
          <w:jc w:val="center"/>
        </w:trPr>
        <w:tc>
          <w:tcPr>
            <w:tcW w:w="1890" w:type="dxa"/>
            <w:tcBorders>
              <w:top w:val="nil"/>
              <w:left w:val="nil"/>
              <w:bottom w:val="single" w:sz="18" w:space="0" w:color="auto"/>
              <w:right w:val="nil"/>
            </w:tcBorders>
            <w:shd w:val="clear" w:color="auto" w:fill="auto"/>
            <w:vAlign w:val="center"/>
          </w:tcPr>
          <w:p w:rsidR="006C2ACF" w:rsidRPr="009D59B1" w:rsidRDefault="006C2ACF" w:rsidP="009D59B1">
            <w:pPr>
              <w:jc w:val="both"/>
              <w:rPr>
                <w:sz w:val="20"/>
                <w:szCs w:val="20"/>
              </w:rPr>
            </w:pPr>
            <w:r w:rsidRPr="009D59B1">
              <w:rPr>
                <w:sz w:val="20"/>
                <w:szCs w:val="20"/>
              </w:rPr>
              <w:t>NWF Pretest*</w:t>
            </w:r>
          </w:p>
        </w:tc>
        <w:tc>
          <w:tcPr>
            <w:tcW w:w="1590" w:type="dxa"/>
            <w:tcBorders>
              <w:top w:val="nil"/>
              <w:left w:val="nil"/>
              <w:bottom w:val="single" w:sz="18" w:space="0" w:color="auto"/>
              <w:right w:val="nil"/>
            </w:tcBorders>
            <w:shd w:val="clear" w:color="auto" w:fill="auto"/>
            <w:vAlign w:val="center"/>
          </w:tcPr>
          <w:p w:rsidR="006C2ACF" w:rsidRPr="009D59B1" w:rsidRDefault="006C2ACF" w:rsidP="009D59B1">
            <w:pPr>
              <w:jc w:val="both"/>
              <w:rPr>
                <w:sz w:val="20"/>
                <w:szCs w:val="20"/>
              </w:rPr>
            </w:pPr>
            <w:r w:rsidRPr="009D59B1">
              <w:rPr>
                <w:i/>
                <w:sz w:val="20"/>
                <w:szCs w:val="20"/>
              </w:rPr>
              <w:t>M</w:t>
            </w:r>
            <w:r w:rsidRPr="009D59B1">
              <w:rPr>
                <w:sz w:val="20"/>
                <w:szCs w:val="20"/>
              </w:rPr>
              <w:t xml:space="preserve"> = 35.06</w:t>
            </w:r>
          </w:p>
          <w:p w:rsidR="006C2ACF" w:rsidRPr="009D59B1" w:rsidRDefault="006C2ACF" w:rsidP="009D59B1">
            <w:pPr>
              <w:jc w:val="both"/>
              <w:rPr>
                <w:sz w:val="20"/>
                <w:szCs w:val="20"/>
              </w:rPr>
            </w:pPr>
            <w:r w:rsidRPr="009D59B1">
              <w:rPr>
                <w:i/>
                <w:sz w:val="20"/>
                <w:szCs w:val="20"/>
              </w:rPr>
              <w:t>SD</w:t>
            </w:r>
            <w:r w:rsidRPr="009D59B1">
              <w:rPr>
                <w:sz w:val="20"/>
                <w:szCs w:val="20"/>
              </w:rPr>
              <w:t xml:space="preserve"> = 17.91</w:t>
            </w:r>
          </w:p>
        </w:tc>
        <w:tc>
          <w:tcPr>
            <w:tcW w:w="1590" w:type="dxa"/>
            <w:tcBorders>
              <w:top w:val="nil"/>
              <w:left w:val="nil"/>
              <w:bottom w:val="single" w:sz="18" w:space="0" w:color="auto"/>
              <w:right w:val="nil"/>
            </w:tcBorders>
            <w:shd w:val="clear" w:color="auto" w:fill="auto"/>
            <w:vAlign w:val="center"/>
          </w:tcPr>
          <w:p w:rsidR="006C2ACF" w:rsidRPr="009D59B1" w:rsidRDefault="006C2ACF" w:rsidP="009D59B1">
            <w:pPr>
              <w:jc w:val="both"/>
              <w:rPr>
                <w:sz w:val="20"/>
                <w:szCs w:val="20"/>
              </w:rPr>
            </w:pPr>
            <w:r w:rsidRPr="009D59B1">
              <w:rPr>
                <w:i/>
                <w:sz w:val="20"/>
                <w:szCs w:val="20"/>
              </w:rPr>
              <w:t>M</w:t>
            </w:r>
            <w:r w:rsidRPr="009D59B1">
              <w:rPr>
                <w:sz w:val="20"/>
                <w:szCs w:val="20"/>
              </w:rPr>
              <w:t xml:space="preserve"> = 34.58</w:t>
            </w:r>
          </w:p>
          <w:p w:rsidR="006C2ACF" w:rsidRPr="009D59B1" w:rsidRDefault="006C2ACF" w:rsidP="009D59B1">
            <w:pPr>
              <w:jc w:val="both"/>
              <w:rPr>
                <w:sz w:val="20"/>
                <w:szCs w:val="20"/>
              </w:rPr>
            </w:pPr>
            <w:r w:rsidRPr="009D59B1">
              <w:rPr>
                <w:i/>
                <w:sz w:val="20"/>
                <w:szCs w:val="20"/>
              </w:rPr>
              <w:t>SD</w:t>
            </w:r>
            <w:r w:rsidRPr="009D59B1">
              <w:rPr>
                <w:sz w:val="20"/>
                <w:szCs w:val="20"/>
              </w:rPr>
              <w:t xml:space="preserve"> = 12.10</w:t>
            </w:r>
          </w:p>
        </w:tc>
        <w:tc>
          <w:tcPr>
            <w:tcW w:w="1590" w:type="dxa"/>
            <w:tcBorders>
              <w:top w:val="nil"/>
              <w:left w:val="nil"/>
              <w:bottom w:val="single" w:sz="18" w:space="0" w:color="auto"/>
              <w:right w:val="nil"/>
            </w:tcBorders>
            <w:shd w:val="clear" w:color="auto" w:fill="auto"/>
            <w:vAlign w:val="center"/>
          </w:tcPr>
          <w:p w:rsidR="006C2ACF" w:rsidRPr="009D59B1" w:rsidRDefault="006C2ACF" w:rsidP="009D59B1">
            <w:pPr>
              <w:jc w:val="both"/>
              <w:rPr>
                <w:sz w:val="20"/>
                <w:szCs w:val="20"/>
              </w:rPr>
            </w:pPr>
            <w:r w:rsidRPr="009D59B1">
              <w:rPr>
                <w:i/>
                <w:sz w:val="20"/>
                <w:szCs w:val="20"/>
              </w:rPr>
              <w:t>M</w:t>
            </w:r>
            <w:r w:rsidRPr="009D59B1">
              <w:rPr>
                <w:sz w:val="20"/>
                <w:szCs w:val="20"/>
              </w:rPr>
              <w:t xml:space="preserve"> = 39.78</w:t>
            </w:r>
          </w:p>
          <w:p w:rsidR="006C2ACF" w:rsidRPr="009D59B1" w:rsidRDefault="006C2ACF" w:rsidP="009D59B1">
            <w:pPr>
              <w:jc w:val="both"/>
              <w:rPr>
                <w:sz w:val="20"/>
                <w:szCs w:val="20"/>
              </w:rPr>
            </w:pPr>
            <w:r w:rsidRPr="009D59B1">
              <w:rPr>
                <w:i/>
                <w:sz w:val="20"/>
                <w:szCs w:val="20"/>
              </w:rPr>
              <w:t>SD</w:t>
            </w:r>
            <w:r w:rsidRPr="009D59B1">
              <w:rPr>
                <w:sz w:val="20"/>
                <w:szCs w:val="20"/>
              </w:rPr>
              <w:t xml:space="preserve"> = 14.62</w:t>
            </w:r>
          </w:p>
        </w:tc>
      </w:tr>
    </w:tbl>
    <w:p w:rsidR="006C2ACF" w:rsidRPr="008014A0" w:rsidRDefault="006C2ACF" w:rsidP="009D59B1">
      <w:pPr>
        <w:jc w:val="both"/>
        <w:rPr>
          <w:sz w:val="16"/>
          <w:szCs w:val="16"/>
        </w:rPr>
      </w:pPr>
      <w:r w:rsidRPr="008014A0">
        <w:rPr>
          <w:sz w:val="16"/>
          <w:szCs w:val="16"/>
        </w:rPr>
        <w:t xml:space="preserve">* </w:t>
      </w:r>
      <w:proofErr w:type="spellStart"/>
      <w:r w:rsidRPr="008014A0">
        <w:rPr>
          <w:sz w:val="16"/>
          <w:szCs w:val="16"/>
        </w:rPr>
        <w:t>NWF</w:t>
      </w:r>
      <w:proofErr w:type="spellEnd"/>
      <w:r w:rsidRPr="008014A0">
        <w:rPr>
          <w:sz w:val="16"/>
          <w:szCs w:val="16"/>
        </w:rPr>
        <w:t xml:space="preserve"> = </w:t>
      </w:r>
      <w:proofErr w:type="spellStart"/>
      <w:r w:rsidRPr="008014A0">
        <w:rPr>
          <w:sz w:val="16"/>
          <w:szCs w:val="16"/>
        </w:rPr>
        <w:t>DIBELS</w:t>
      </w:r>
      <w:proofErr w:type="spellEnd"/>
      <w:r w:rsidRPr="008014A0">
        <w:rPr>
          <w:sz w:val="16"/>
          <w:szCs w:val="16"/>
        </w:rPr>
        <w:t xml:space="preserve"> Nonsense Word Fluency mean sounds per minute</w:t>
      </w:r>
    </w:p>
    <w:p w:rsidR="008014A0" w:rsidRDefault="008014A0" w:rsidP="009D59B1">
      <w:pPr>
        <w:jc w:val="both"/>
        <w:rPr>
          <w:i/>
          <w:sz w:val="20"/>
          <w:szCs w:val="20"/>
        </w:rPr>
      </w:pPr>
    </w:p>
    <w:p w:rsidR="00FC3FB6" w:rsidRPr="009D59B1" w:rsidRDefault="00FC3FB6" w:rsidP="009D59B1">
      <w:pPr>
        <w:jc w:val="both"/>
        <w:rPr>
          <w:i/>
          <w:sz w:val="20"/>
          <w:szCs w:val="20"/>
        </w:rPr>
      </w:pPr>
      <w:r w:rsidRPr="009D59B1">
        <w:rPr>
          <w:i/>
          <w:sz w:val="20"/>
          <w:szCs w:val="20"/>
        </w:rPr>
        <w:t>Design</w:t>
      </w:r>
    </w:p>
    <w:p w:rsidR="00FC3FB6" w:rsidRPr="009D59B1" w:rsidRDefault="00FC3FB6" w:rsidP="008014A0">
      <w:pPr>
        <w:jc w:val="both"/>
        <w:rPr>
          <w:sz w:val="20"/>
          <w:szCs w:val="20"/>
        </w:rPr>
      </w:pPr>
      <w:r w:rsidRPr="009D59B1">
        <w:rPr>
          <w:sz w:val="20"/>
          <w:szCs w:val="20"/>
        </w:rPr>
        <w:t xml:space="preserve">A repeated measures (pretest-posttest), three-group (PAD only, PAD-Plus MA, and PAD-Plus SR) design was employed that addressed threats to </w:t>
      </w:r>
      <w:r w:rsidRPr="009D59B1">
        <w:rPr>
          <w:sz w:val="20"/>
          <w:szCs w:val="20"/>
          <w:lang w:eastAsia="ja-JP"/>
        </w:rPr>
        <w:t>internal validity by controlling for initial levels of vocabulary knowledge and reading skill. Specifically, two different treatment conditions (</w:t>
      </w:r>
      <w:proofErr w:type="spellStart"/>
      <w:r w:rsidRPr="009D59B1">
        <w:rPr>
          <w:sz w:val="20"/>
          <w:szCs w:val="20"/>
          <w:lang w:eastAsia="ja-JP"/>
        </w:rPr>
        <w:t>vocab</w:t>
      </w:r>
      <w:proofErr w:type="spellEnd"/>
      <w:r w:rsidRPr="009D59B1">
        <w:rPr>
          <w:sz w:val="20"/>
          <w:szCs w:val="20"/>
          <w:lang w:eastAsia="ja-JP"/>
        </w:rPr>
        <w:t xml:space="preserve">+ with semantic focus and </w:t>
      </w:r>
      <w:proofErr w:type="spellStart"/>
      <w:r w:rsidRPr="009D59B1">
        <w:rPr>
          <w:sz w:val="20"/>
          <w:szCs w:val="20"/>
          <w:lang w:eastAsia="ja-JP"/>
        </w:rPr>
        <w:t>vocab</w:t>
      </w:r>
      <w:proofErr w:type="spellEnd"/>
      <w:r w:rsidRPr="009D59B1">
        <w:rPr>
          <w:sz w:val="20"/>
          <w:szCs w:val="20"/>
          <w:lang w:eastAsia="ja-JP"/>
        </w:rPr>
        <w:t>+ with morphological focus) were compared to a treatment-control condition (PAD only). Data was collected before and after the instructional period</w:t>
      </w:r>
      <w:r w:rsidRPr="009D59B1">
        <w:rPr>
          <w:color w:val="0000FF"/>
          <w:sz w:val="20"/>
          <w:szCs w:val="20"/>
          <w:lang w:eastAsia="ja-JP"/>
        </w:rPr>
        <w:t xml:space="preserve">. </w:t>
      </w:r>
      <w:r w:rsidRPr="009D59B1">
        <w:rPr>
          <w:sz w:val="20"/>
          <w:szCs w:val="20"/>
        </w:rPr>
        <w:t xml:space="preserve">A treatment-control group, rather than an attention-control group, was employed due to evidence that PA and decoding training is highly effective for improving word-level reading skills </w:t>
      </w:r>
      <w:r w:rsidR="008D36A2" w:rsidRPr="009D59B1">
        <w:rPr>
          <w:sz w:val="20"/>
          <w:szCs w:val="20"/>
        </w:rPr>
        <w:t xml:space="preserve">of EL </w:t>
      </w:r>
      <w:r w:rsidRPr="009D59B1">
        <w:rPr>
          <w:sz w:val="20"/>
          <w:szCs w:val="20"/>
        </w:rPr>
        <w:t xml:space="preserve">(Gerber, et al., 2004; </w:t>
      </w:r>
      <w:proofErr w:type="spellStart"/>
      <w:r w:rsidRPr="009D59B1">
        <w:rPr>
          <w:sz w:val="20"/>
          <w:szCs w:val="20"/>
        </w:rPr>
        <w:t>Leafstedt</w:t>
      </w:r>
      <w:proofErr w:type="spellEnd"/>
      <w:r w:rsidRPr="009D59B1">
        <w:rPr>
          <w:sz w:val="20"/>
          <w:szCs w:val="20"/>
        </w:rPr>
        <w:t xml:space="preserve">, Richards, &amp; Gerber, 2004; Richards &amp; </w:t>
      </w:r>
      <w:proofErr w:type="spellStart"/>
      <w:r w:rsidRPr="009D59B1">
        <w:rPr>
          <w:sz w:val="20"/>
          <w:szCs w:val="20"/>
        </w:rPr>
        <w:t>Leafstedt</w:t>
      </w:r>
      <w:proofErr w:type="spellEnd"/>
      <w:r w:rsidRPr="009D59B1">
        <w:rPr>
          <w:sz w:val="20"/>
          <w:szCs w:val="20"/>
        </w:rPr>
        <w:t>, 2010); i.e., the PAD group served as a treatment-control.</w:t>
      </w:r>
    </w:p>
    <w:p w:rsidR="008014A0" w:rsidRDefault="008014A0" w:rsidP="008014A0">
      <w:pPr>
        <w:jc w:val="both"/>
        <w:rPr>
          <w:i/>
          <w:sz w:val="20"/>
          <w:szCs w:val="20"/>
        </w:rPr>
      </w:pPr>
    </w:p>
    <w:p w:rsidR="001210F2" w:rsidRDefault="00FC3FB6" w:rsidP="008014A0">
      <w:pPr>
        <w:jc w:val="both"/>
        <w:rPr>
          <w:i/>
          <w:sz w:val="20"/>
          <w:szCs w:val="20"/>
        </w:rPr>
      </w:pPr>
      <w:proofErr w:type="gramStart"/>
      <w:r w:rsidRPr="009D59B1">
        <w:rPr>
          <w:i/>
          <w:sz w:val="20"/>
          <w:szCs w:val="20"/>
        </w:rPr>
        <w:t>Group assignment.</w:t>
      </w:r>
      <w:proofErr w:type="gramEnd"/>
    </w:p>
    <w:p w:rsidR="00FC3FB6" w:rsidRPr="009D59B1" w:rsidRDefault="00FC3FB6" w:rsidP="008014A0">
      <w:pPr>
        <w:jc w:val="both"/>
        <w:rPr>
          <w:sz w:val="20"/>
          <w:szCs w:val="20"/>
        </w:rPr>
      </w:pPr>
      <w:r w:rsidRPr="009D59B1">
        <w:rPr>
          <w:sz w:val="20"/>
          <w:szCs w:val="20"/>
        </w:rPr>
        <w:t xml:space="preserve">First, intact classrooms were randomly assigned to treatment (three </w:t>
      </w:r>
      <w:proofErr w:type="spellStart"/>
      <w:r w:rsidRPr="009D59B1">
        <w:rPr>
          <w:sz w:val="20"/>
          <w:szCs w:val="20"/>
        </w:rPr>
        <w:t>Vocab</w:t>
      </w:r>
      <w:proofErr w:type="spellEnd"/>
      <w:r w:rsidRPr="009D59B1">
        <w:rPr>
          <w:sz w:val="20"/>
          <w:szCs w:val="20"/>
        </w:rPr>
        <w:t>+</w:t>
      </w:r>
      <w:r w:rsidR="00F10C39" w:rsidRPr="009D59B1">
        <w:rPr>
          <w:sz w:val="20"/>
          <w:szCs w:val="20"/>
        </w:rPr>
        <w:t xml:space="preserve"> classrooms</w:t>
      </w:r>
      <w:r w:rsidRPr="009D59B1">
        <w:rPr>
          <w:sz w:val="20"/>
          <w:szCs w:val="20"/>
        </w:rPr>
        <w:t>) or treatment-control (two PAD</w:t>
      </w:r>
      <w:r w:rsidR="00F10C39" w:rsidRPr="009D59B1">
        <w:rPr>
          <w:sz w:val="20"/>
          <w:szCs w:val="20"/>
        </w:rPr>
        <w:t xml:space="preserve"> classrooms</w:t>
      </w:r>
      <w:r w:rsidRPr="009D59B1">
        <w:rPr>
          <w:sz w:val="20"/>
          <w:szCs w:val="20"/>
        </w:rPr>
        <w:t>) conditions. Second, students were rank-ordered within classroom on Nonsense Word Fluency pretest scores, a measure of phonological decoding (see Measures). This measure was selected due to its importance as a predictor of later reading performance (</w:t>
      </w:r>
      <w:proofErr w:type="spellStart"/>
      <w:r w:rsidRPr="009D59B1">
        <w:rPr>
          <w:sz w:val="20"/>
          <w:szCs w:val="20"/>
        </w:rPr>
        <w:t>Schatschneider</w:t>
      </w:r>
      <w:proofErr w:type="spellEnd"/>
      <w:r w:rsidRPr="009D59B1">
        <w:rPr>
          <w:sz w:val="20"/>
          <w:szCs w:val="20"/>
        </w:rPr>
        <w:t xml:space="preserve">, </w:t>
      </w:r>
      <w:r w:rsidRPr="009D59B1">
        <w:rPr>
          <w:sz w:val="20"/>
          <w:szCs w:val="20"/>
        </w:rPr>
        <w:lastRenderedPageBreak/>
        <w:t xml:space="preserve">Fletcher, Francis, Carlson, &amp; </w:t>
      </w:r>
      <w:proofErr w:type="spellStart"/>
      <w:r w:rsidRPr="009D59B1">
        <w:rPr>
          <w:sz w:val="20"/>
          <w:szCs w:val="20"/>
        </w:rPr>
        <w:t>Foorman</w:t>
      </w:r>
      <w:proofErr w:type="spellEnd"/>
      <w:r w:rsidRPr="009D59B1">
        <w:rPr>
          <w:sz w:val="20"/>
          <w:szCs w:val="20"/>
        </w:rPr>
        <w:t xml:space="preserve">, 2004), including for </w:t>
      </w:r>
      <w:proofErr w:type="gramStart"/>
      <w:r w:rsidRPr="009D59B1">
        <w:rPr>
          <w:sz w:val="20"/>
          <w:szCs w:val="20"/>
        </w:rPr>
        <w:t>EL</w:t>
      </w:r>
      <w:r w:rsidRPr="009D59B1">
        <w:rPr>
          <w:color w:val="339966"/>
          <w:sz w:val="20"/>
          <w:szCs w:val="20"/>
        </w:rPr>
        <w:t xml:space="preserve"> </w:t>
      </w:r>
      <w:r w:rsidRPr="009D59B1">
        <w:rPr>
          <w:sz w:val="20"/>
          <w:szCs w:val="20"/>
        </w:rPr>
        <w:t xml:space="preserve"> (</w:t>
      </w:r>
      <w:proofErr w:type="spellStart"/>
      <w:proofErr w:type="gramEnd"/>
      <w:r w:rsidRPr="009D59B1">
        <w:rPr>
          <w:sz w:val="20"/>
          <w:szCs w:val="20"/>
        </w:rPr>
        <w:t>Vanderwood</w:t>
      </w:r>
      <w:proofErr w:type="spellEnd"/>
      <w:r w:rsidRPr="009D59B1">
        <w:rPr>
          <w:sz w:val="20"/>
          <w:szCs w:val="20"/>
        </w:rPr>
        <w:t xml:space="preserve">, </w:t>
      </w:r>
      <w:proofErr w:type="spellStart"/>
      <w:r w:rsidRPr="009D59B1">
        <w:rPr>
          <w:sz w:val="20"/>
          <w:szCs w:val="20"/>
        </w:rPr>
        <w:t>Linklater</w:t>
      </w:r>
      <w:proofErr w:type="spellEnd"/>
      <w:r w:rsidRPr="009D59B1">
        <w:rPr>
          <w:sz w:val="20"/>
          <w:szCs w:val="20"/>
        </w:rPr>
        <w:t>, &amp; Healy, 2008)</w:t>
      </w:r>
      <w:r w:rsidRPr="009D59B1">
        <w:rPr>
          <w:color w:val="339966"/>
          <w:sz w:val="20"/>
          <w:szCs w:val="20"/>
        </w:rPr>
        <w:t>.</w:t>
      </w:r>
      <w:r w:rsidRPr="009D59B1">
        <w:rPr>
          <w:sz w:val="20"/>
          <w:szCs w:val="20"/>
        </w:rPr>
        <w:t xml:space="preserve"> Then, based on these rankings, students were grouped into approximately four similar-ability groups within each classroom, which allowed for direct instruction and other strategies appropriate for struggling readers (Swanson &amp; </w:t>
      </w:r>
      <w:proofErr w:type="spellStart"/>
      <w:r w:rsidRPr="009D59B1">
        <w:rPr>
          <w:sz w:val="20"/>
          <w:szCs w:val="20"/>
        </w:rPr>
        <w:t>Hoskyn</w:t>
      </w:r>
      <w:proofErr w:type="spellEnd"/>
      <w:r w:rsidRPr="009D59B1">
        <w:rPr>
          <w:sz w:val="20"/>
          <w:szCs w:val="20"/>
        </w:rPr>
        <w:t xml:space="preserve">, 1998). Finally, groups within the three </w:t>
      </w:r>
      <w:proofErr w:type="spellStart"/>
      <w:r w:rsidRPr="009D59B1">
        <w:rPr>
          <w:sz w:val="20"/>
          <w:szCs w:val="20"/>
        </w:rPr>
        <w:t>Vocab</w:t>
      </w:r>
      <w:proofErr w:type="spellEnd"/>
      <w:r w:rsidRPr="009D59B1">
        <w:rPr>
          <w:sz w:val="20"/>
          <w:szCs w:val="20"/>
        </w:rPr>
        <w:t xml:space="preserve">+ classrooms were randomly assigned to </w:t>
      </w:r>
      <w:proofErr w:type="spellStart"/>
      <w:r w:rsidRPr="009D59B1">
        <w:rPr>
          <w:sz w:val="20"/>
          <w:szCs w:val="20"/>
        </w:rPr>
        <w:t>Vocab</w:t>
      </w:r>
      <w:proofErr w:type="spellEnd"/>
      <w:r w:rsidRPr="009D59B1">
        <w:rPr>
          <w:sz w:val="20"/>
          <w:szCs w:val="20"/>
        </w:rPr>
        <w:t xml:space="preserve">+ semantic relations (SR) or </w:t>
      </w:r>
      <w:proofErr w:type="spellStart"/>
      <w:r w:rsidRPr="009D59B1">
        <w:rPr>
          <w:sz w:val="20"/>
          <w:szCs w:val="20"/>
        </w:rPr>
        <w:t>Vocab</w:t>
      </w:r>
      <w:proofErr w:type="spellEnd"/>
      <w:r w:rsidRPr="009D59B1">
        <w:rPr>
          <w:sz w:val="20"/>
          <w:szCs w:val="20"/>
        </w:rPr>
        <w:t>+ morphological awareness (MA).</w:t>
      </w:r>
      <w:r w:rsidRPr="009D59B1">
        <w:rPr>
          <w:i/>
          <w:sz w:val="20"/>
          <w:szCs w:val="20"/>
        </w:rPr>
        <w:t xml:space="preserve"> </w:t>
      </w:r>
      <w:r w:rsidRPr="009D59B1">
        <w:rPr>
          <w:sz w:val="20"/>
          <w:szCs w:val="20"/>
        </w:rPr>
        <w:t xml:space="preserve">Therefore, there were three classrooms, each with two </w:t>
      </w:r>
      <w:proofErr w:type="spellStart"/>
      <w:r w:rsidRPr="009D59B1">
        <w:rPr>
          <w:sz w:val="20"/>
          <w:szCs w:val="20"/>
        </w:rPr>
        <w:t>Vocab</w:t>
      </w:r>
      <w:proofErr w:type="spellEnd"/>
      <w:r w:rsidRPr="009D59B1">
        <w:rPr>
          <w:sz w:val="20"/>
          <w:szCs w:val="20"/>
        </w:rPr>
        <w:t xml:space="preserve">+ -SR groups and two </w:t>
      </w:r>
      <w:proofErr w:type="spellStart"/>
      <w:r w:rsidRPr="009D59B1">
        <w:rPr>
          <w:sz w:val="20"/>
          <w:szCs w:val="20"/>
        </w:rPr>
        <w:t>Vocab</w:t>
      </w:r>
      <w:proofErr w:type="spellEnd"/>
      <w:r w:rsidRPr="009D59B1">
        <w:rPr>
          <w:sz w:val="20"/>
          <w:szCs w:val="20"/>
        </w:rPr>
        <w:t>+-MA groups and two PAD classrooms.</w:t>
      </w:r>
    </w:p>
    <w:p w:rsidR="008014A0" w:rsidRDefault="008014A0" w:rsidP="008014A0">
      <w:pPr>
        <w:pStyle w:val="WW-Body"/>
        <w:jc w:val="both"/>
        <w:rPr>
          <w:sz w:val="20"/>
          <w:lang w:eastAsia="ja-JP"/>
        </w:rPr>
      </w:pPr>
    </w:p>
    <w:p w:rsidR="00FC3FB6" w:rsidRPr="009D59B1" w:rsidRDefault="00FC3FB6" w:rsidP="008014A0">
      <w:pPr>
        <w:pStyle w:val="WW-Body"/>
        <w:jc w:val="both"/>
        <w:rPr>
          <w:sz w:val="20"/>
        </w:rPr>
      </w:pPr>
      <w:r w:rsidRPr="009D59B1">
        <w:rPr>
          <w:sz w:val="20"/>
          <w:lang w:eastAsia="ja-JP"/>
        </w:rPr>
        <w:t>After group assignment, one treatment-control classroom (PAD only) dropped out during the pre-test phase citing logistics and lack of teacher interest. Class composition and pre-intervention achievement characteristics of students in this classroom did not significantly differ, practically or statistically, from those of remaining students. Some data was missing for an additional six students, who also were not significantly different from those for whom complete data were available. Therefore, results are reported on a</w:t>
      </w:r>
      <w:r w:rsidRPr="009D59B1">
        <w:rPr>
          <w:sz w:val="20"/>
        </w:rPr>
        <w:t xml:space="preserve"> final sample of 71 students, with the PAD condition comprising 18 students from one classroom, and the PAD-plus conditions comprising 26 (SR) and 27 (MA) students spread across three classrooms. </w:t>
      </w:r>
    </w:p>
    <w:p w:rsidR="008014A0" w:rsidRDefault="008014A0" w:rsidP="008014A0">
      <w:pPr>
        <w:pStyle w:val="WW-Body"/>
        <w:jc w:val="center"/>
        <w:rPr>
          <w:b/>
          <w:sz w:val="20"/>
        </w:rPr>
      </w:pPr>
    </w:p>
    <w:p w:rsidR="00B860C9" w:rsidRPr="00084CAC" w:rsidRDefault="00BD581D" w:rsidP="00084CAC">
      <w:pPr>
        <w:pStyle w:val="WW-Body"/>
        <w:jc w:val="center"/>
        <w:rPr>
          <w:b/>
          <w:sz w:val="20"/>
        </w:rPr>
      </w:pPr>
      <w:proofErr w:type="gramStart"/>
      <w:r w:rsidRPr="008014A0">
        <w:rPr>
          <w:b/>
          <w:sz w:val="20"/>
        </w:rPr>
        <w:t>Table 2</w:t>
      </w:r>
      <w:r w:rsidR="00FC3FB6" w:rsidRPr="008014A0">
        <w:rPr>
          <w:b/>
          <w:sz w:val="20"/>
        </w:rPr>
        <w:t>.</w:t>
      </w:r>
      <w:proofErr w:type="gramEnd"/>
      <w:r w:rsidR="00FC3FB6" w:rsidRPr="008014A0">
        <w:rPr>
          <w:b/>
          <w:sz w:val="20"/>
        </w:rPr>
        <w:t xml:space="preserve"> </w:t>
      </w:r>
      <w:r w:rsidR="008014A0" w:rsidRPr="008014A0">
        <w:rPr>
          <w:b/>
          <w:sz w:val="20"/>
        </w:rPr>
        <w:t>Number of students in each instructional group</w:t>
      </w:r>
    </w:p>
    <w:tbl>
      <w:tblPr>
        <w:tblW w:w="0" w:type="auto"/>
        <w:jc w:val="center"/>
        <w:tblBorders>
          <w:top w:val="single" w:sz="4" w:space="0" w:color="auto"/>
          <w:bottom w:val="single" w:sz="4" w:space="0" w:color="auto"/>
          <w:insideH w:val="single" w:sz="4" w:space="0" w:color="auto"/>
          <w:insideV w:val="single" w:sz="4" w:space="0" w:color="auto"/>
        </w:tblBorders>
        <w:tblLayout w:type="fixed"/>
        <w:tblCellMar>
          <w:left w:w="0" w:type="dxa"/>
          <w:right w:w="0" w:type="dxa"/>
        </w:tblCellMar>
        <w:tblLook w:val="00BF"/>
      </w:tblPr>
      <w:tblGrid>
        <w:gridCol w:w="2133"/>
        <w:gridCol w:w="2131"/>
        <w:gridCol w:w="2090"/>
        <w:gridCol w:w="2097"/>
      </w:tblGrid>
      <w:tr w:rsidR="00FC3FB6" w:rsidRPr="009D59B1" w:rsidTr="008014A0">
        <w:trPr>
          <w:jc w:val="center"/>
        </w:trPr>
        <w:tc>
          <w:tcPr>
            <w:tcW w:w="2133" w:type="dxa"/>
            <w:tcBorders>
              <w:top w:val="single" w:sz="4" w:space="0" w:color="auto"/>
              <w:right w:val="nil"/>
            </w:tcBorders>
            <w:vAlign w:val="center"/>
          </w:tcPr>
          <w:p w:rsidR="00FC3FB6" w:rsidRPr="009D59B1" w:rsidRDefault="00FC3FB6" w:rsidP="008014A0">
            <w:pPr>
              <w:pStyle w:val="WW-Body"/>
              <w:ind w:firstLine="360"/>
              <w:jc w:val="center"/>
              <w:rPr>
                <w:b/>
                <w:sz w:val="20"/>
              </w:rPr>
            </w:pPr>
            <w:proofErr w:type="spellStart"/>
            <w:r w:rsidRPr="009D59B1">
              <w:rPr>
                <w:b/>
                <w:sz w:val="20"/>
              </w:rPr>
              <w:t>Vocab</w:t>
            </w:r>
            <w:proofErr w:type="spellEnd"/>
            <w:r w:rsidRPr="009D59B1">
              <w:rPr>
                <w:b/>
                <w:sz w:val="20"/>
              </w:rPr>
              <w:t>+ MA</w:t>
            </w:r>
          </w:p>
        </w:tc>
        <w:tc>
          <w:tcPr>
            <w:tcW w:w="2131" w:type="dxa"/>
            <w:tcBorders>
              <w:top w:val="single" w:sz="4" w:space="0" w:color="auto"/>
              <w:left w:val="nil"/>
              <w:right w:val="nil"/>
            </w:tcBorders>
            <w:vAlign w:val="center"/>
          </w:tcPr>
          <w:p w:rsidR="00FC3FB6" w:rsidRPr="009D59B1" w:rsidRDefault="00FC3FB6" w:rsidP="008014A0">
            <w:pPr>
              <w:pStyle w:val="WW-Body"/>
              <w:ind w:firstLine="360"/>
              <w:jc w:val="center"/>
              <w:rPr>
                <w:b/>
                <w:sz w:val="20"/>
              </w:rPr>
            </w:pPr>
            <w:proofErr w:type="spellStart"/>
            <w:r w:rsidRPr="009D59B1">
              <w:rPr>
                <w:b/>
                <w:sz w:val="20"/>
              </w:rPr>
              <w:t>Vocab</w:t>
            </w:r>
            <w:proofErr w:type="spellEnd"/>
            <w:r w:rsidRPr="009D59B1">
              <w:rPr>
                <w:b/>
                <w:sz w:val="20"/>
              </w:rPr>
              <w:t>+ SR</w:t>
            </w:r>
          </w:p>
        </w:tc>
        <w:tc>
          <w:tcPr>
            <w:tcW w:w="2090" w:type="dxa"/>
            <w:tcBorders>
              <w:top w:val="single" w:sz="4" w:space="0" w:color="auto"/>
              <w:left w:val="nil"/>
              <w:right w:val="nil"/>
            </w:tcBorders>
            <w:vAlign w:val="center"/>
          </w:tcPr>
          <w:p w:rsidR="00FC3FB6" w:rsidRPr="009D59B1" w:rsidRDefault="00FC3FB6" w:rsidP="008014A0">
            <w:pPr>
              <w:pStyle w:val="WW-Body"/>
              <w:ind w:firstLine="360"/>
              <w:jc w:val="center"/>
              <w:rPr>
                <w:b/>
                <w:sz w:val="20"/>
              </w:rPr>
            </w:pPr>
            <w:r w:rsidRPr="009D59B1">
              <w:rPr>
                <w:b/>
                <w:sz w:val="20"/>
              </w:rPr>
              <w:t>PAD</w:t>
            </w:r>
          </w:p>
        </w:tc>
        <w:tc>
          <w:tcPr>
            <w:tcW w:w="2097" w:type="dxa"/>
            <w:tcBorders>
              <w:top w:val="single" w:sz="4" w:space="0" w:color="auto"/>
              <w:left w:val="nil"/>
            </w:tcBorders>
            <w:vAlign w:val="center"/>
          </w:tcPr>
          <w:p w:rsidR="00FC3FB6" w:rsidRPr="009D59B1" w:rsidRDefault="00FC3FB6" w:rsidP="008014A0">
            <w:pPr>
              <w:pStyle w:val="WW-Body"/>
              <w:ind w:firstLine="360"/>
              <w:jc w:val="center"/>
              <w:rPr>
                <w:b/>
                <w:sz w:val="20"/>
              </w:rPr>
            </w:pPr>
            <w:r w:rsidRPr="009D59B1">
              <w:rPr>
                <w:b/>
                <w:sz w:val="20"/>
              </w:rPr>
              <w:t>Total</w:t>
            </w:r>
          </w:p>
        </w:tc>
      </w:tr>
      <w:tr w:rsidR="00FC3FB6" w:rsidRPr="009D59B1" w:rsidTr="008014A0">
        <w:trPr>
          <w:jc w:val="center"/>
        </w:trPr>
        <w:tc>
          <w:tcPr>
            <w:tcW w:w="2133" w:type="dxa"/>
            <w:vAlign w:val="center"/>
          </w:tcPr>
          <w:p w:rsidR="00FC3FB6" w:rsidRPr="009D59B1" w:rsidRDefault="00FC3FB6" w:rsidP="008014A0">
            <w:pPr>
              <w:pStyle w:val="WW-Body"/>
              <w:ind w:firstLine="360"/>
              <w:jc w:val="center"/>
              <w:rPr>
                <w:sz w:val="20"/>
              </w:rPr>
            </w:pPr>
            <w:r w:rsidRPr="009D59B1">
              <w:rPr>
                <w:sz w:val="20"/>
              </w:rPr>
              <w:t>27</w:t>
            </w:r>
          </w:p>
        </w:tc>
        <w:tc>
          <w:tcPr>
            <w:tcW w:w="2131" w:type="dxa"/>
            <w:vAlign w:val="center"/>
          </w:tcPr>
          <w:p w:rsidR="00FC3FB6" w:rsidRPr="009D59B1" w:rsidRDefault="00FC3FB6" w:rsidP="008014A0">
            <w:pPr>
              <w:pStyle w:val="WW-Body"/>
              <w:ind w:firstLine="360"/>
              <w:jc w:val="center"/>
              <w:rPr>
                <w:sz w:val="20"/>
              </w:rPr>
            </w:pPr>
            <w:r w:rsidRPr="009D59B1">
              <w:rPr>
                <w:sz w:val="20"/>
              </w:rPr>
              <w:t>26</w:t>
            </w:r>
          </w:p>
        </w:tc>
        <w:tc>
          <w:tcPr>
            <w:tcW w:w="2090" w:type="dxa"/>
            <w:vAlign w:val="center"/>
          </w:tcPr>
          <w:p w:rsidR="00FC3FB6" w:rsidRPr="009D59B1" w:rsidRDefault="00FC3FB6" w:rsidP="008014A0">
            <w:pPr>
              <w:pStyle w:val="WW-Body"/>
              <w:ind w:firstLine="360"/>
              <w:jc w:val="center"/>
              <w:rPr>
                <w:sz w:val="20"/>
              </w:rPr>
            </w:pPr>
            <w:r w:rsidRPr="009D59B1">
              <w:rPr>
                <w:sz w:val="20"/>
              </w:rPr>
              <w:t>18</w:t>
            </w:r>
          </w:p>
        </w:tc>
        <w:tc>
          <w:tcPr>
            <w:tcW w:w="2097" w:type="dxa"/>
            <w:vAlign w:val="center"/>
          </w:tcPr>
          <w:p w:rsidR="00FC3FB6" w:rsidRPr="009D59B1" w:rsidRDefault="00FC3FB6" w:rsidP="008014A0">
            <w:pPr>
              <w:pStyle w:val="WW-Body"/>
              <w:ind w:firstLine="360"/>
              <w:jc w:val="center"/>
              <w:rPr>
                <w:sz w:val="20"/>
              </w:rPr>
            </w:pPr>
            <w:r w:rsidRPr="009D59B1">
              <w:rPr>
                <w:sz w:val="20"/>
              </w:rPr>
              <w:t>71</w:t>
            </w:r>
          </w:p>
        </w:tc>
      </w:tr>
    </w:tbl>
    <w:p w:rsidR="008014A0" w:rsidRDefault="008014A0" w:rsidP="009D59B1">
      <w:pPr>
        <w:jc w:val="both"/>
        <w:rPr>
          <w:i/>
          <w:sz w:val="20"/>
          <w:szCs w:val="20"/>
        </w:rPr>
      </w:pPr>
    </w:p>
    <w:p w:rsidR="00FC3FB6" w:rsidRPr="009D59B1" w:rsidRDefault="00FC3FB6" w:rsidP="009D59B1">
      <w:pPr>
        <w:jc w:val="both"/>
        <w:rPr>
          <w:i/>
          <w:sz w:val="20"/>
          <w:szCs w:val="20"/>
        </w:rPr>
      </w:pPr>
      <w:r w:rsidRPr="009D59B1">
        <w:rPr>
          <w:i/>
          <w:sz w:val="20"/>
          <w:szCs w:val="20"/>
        </w:rPr>
        <w:t>Data Collection Procedures</w:t>
      </w:r>
    </w:p>
    <w:p w:rsidR="00FC3FB6" w:rsidRPr="009D59B1" w:rsidRDefault="00FC3FB6" w:rsidP="009D59B1">
      <w:pPr>
        <w:jc w:val="both"/>
        <w:rPr>
          <w:sz w:val="20"/>
          <w:szCs w:val="20"/>
        </w:rPr>
      </w:pPr>
      <w:r w:rsidRPr="009D59B1">
        <w:rPr>
          <w:sz w:val="20"/>
          <w:szCs w:val="20"/>
        </w:rPr>
        <w:t xml:space="preserve">Target vocabulary knowledge, phonological decoding, word reading, reading fluency, and comprehension were measured using a combination of standardized and experimental measures. Expressive One-Word Vocabulary was measured in English and Spanish, all other measures were in English only. The first author and trained research assistants administered assessments at school sites. Pre and post-test student performance was measured on target vocabulary knowledge, PA, and phonological decoding. Breadth of vocabulary knowledge was assessed only at pretest. </w:t>
      </w:r>
    </w:p>
    <w:p w:rsidR="008014A0" w:rsidRDefault="008014A0" w:rsidP="009D59B1">
      <w:pPr>
        <w:jc w:val="both"/>
        <w:rPr>
          <w:i/>
          <w:sz w:val="20"/>
          <w:szCs w:val="20"/>
        </w:rPr>
      </w:pPr>
    </w:p>
    <w:p w:rsidR="00FC3FB6" w:rsidRPr="009D59B1" w:rsidRDefault="00FC3FB6" w:rsidP="009D59B1">
      <w:pPr>
        <w:jc w:val="both"/>
        <w:rPr>
          <w:i/>
          <w:sz w:val="20"/>
          <w:szCs w:val="20"/>
        </w:rPr>
      </w:pPr>
      <w:r w:rsidRPr="009D59B1">
        <w:rPr>
          <w:i/>
          <w:sz w:val="20"/>
          <w:szCs w:val="20"/>
        </w:rPr>
        <w:t>Measures</w:t>
      </w:r>
    </w:p>
    <w:p w:rsidR="00FC3FB6" w:rsidRPr="009D59B1" w:rsidRDefault="00FC3FB6" w:rsidP="008014A0">
      <w:pPr>
        <w:jc w:val="both"/>
        <w:rPr>
          <w:i/>
          <w:sz w:val="20"/>
          <w:szCs w:val="20"/>
        </w:rPr>
      </w:pPr>
      <w:proofErr w:type="gramStart"/>
      <w:r w:rsidRPr="009D59B1">
        <w:rPr>
          <w:i/>
          <w:iCs/>
          <w:sz w:val="20"/>
          <w:szCs w:val="20"/>
        </w:rPr>
        <w:t>Breadth of vocabulary knowledge.</w:t>
      </w:r>
      <w:proofErr w:type="gramEnd"/>
      <w:r w:rsidRPr="009D59B1">
        <w:rPr>
          <w:i/>
          <w:iCs/>
          <w:sz w:val="20"/>
          <w:szCs w:val="20"/>
        </w:rPr>
        <w:t xml:space="preserve"> </w:t>
      </w:r>
      <w:r w:rsidRPr="009D59B1">
        <w:rPr>
          <w:iCs/>
          <w:sz w:val="20"/>
          <w:szCs w:val="20"/>
        </w:rPr>
        <w:t>The Peabody Picture Vocabulary Test-Revised</w:t>
      </w:r>
      <w:r w:rsidRPr="009D59B1">
        <w:rPr>
          <w:sz w:val="20"/>
          <w:szCs w:val="20"/>
        </w:rPr>
        <w:t xml:space="preserve"> (PPVT; Dunn &amp; Dunn, 1981) was administered individually as an indicator of receptive vocabulary knowledge in English. Bilingual expressive vocabulary was measured with the Expressive One-Word Vocabulary Test (EOWVT), which requires students to verbally name pictured verbs and nouns in English or Spanish (Brownell, 2000). Both receptive and expressive measures were obtained only as baseline information to validate the target vocabulary knowledge test, as neither is sensitive to change over a short time period.</w:t>
      </w:r>
    </w:p>
    <w:p w:rsidR="008014A0" w:rsidRDefault="008014A0" w:rsidP="008014A0">
      <w:pPr>
        <w:jc w:val="both"/>
        <w:rPr>
          <w:i/>
          <w:sz w:val="20"/>
          <w:szCs w:val="20"/>
        </w:rPr>
      </w:pPr>
    </w:p>
    <w:p w:rsidR="00FC3FB6" w:rsidRPr="009D59B1" w:rsidRDefault="00FC3FB6" w:rsidP="008014A0">
      <w:pPr>
        <w:jc w:val="both"/>
        <w:rPr>
          <w:sz w:val="20"/>
          <w:szCs w:val="20"/>
        </w:rPr>
      </w:pPr>
      <w:proofErr w:type="gramStart"/>
      <w:r w:rsidRPr="009D59B1">
        <w:rPr>
          <w:i/>
          <w:sz w:val="20"/>
          <w:szCs w:val="20"/>
        </w:rPr>
        <w:t>Target vocabulary knowledge (experimental).</w:t>
      </w:r>
      <w:proofErr w:type="gramEnd"/>
      <w:r w:rsidRPr="009D59B1">
        <w:rPr>
          <w:sz w:val="20"/>
          <w:szCs w:val="20"/>
        </w:rPr>
        <w:t xml:space="preserve"> To measure knowledge of taught vocabulary words, the target vocabulary test (VOC) was administered in a group format at pretest and at posttest. Words tested were all taught to both MA and SR conditions. </w:t>
      </w:r>
      <w:r w:rsidRPr="009D59B1">
        <w:rPr>
          <w:i/>
          <w:sz w:val="20"/>
          <w:szCs w:val="20"/>
        </w:rPr>
        <w:t>Silly</w:t>
      </w:r>
      <w:r w:rsidRPr="009D59B1">
        <w:rPr>
          <w:sz w:val="20"/>
          <w:szCs w:val="20"/>
        </w:rPr>
        <w:t xml:space="preserve"> (false) or </w:t>
      </w:r>
      <w:r w:rsidRPr="009D59B1">
        <w:rPr>
          <w:i/>
          <w:sz w:val="20"/>
          <w:szCs w:val="20"/>
        </w:rPr>
        <w:t>True</w:t>
      </w:r>
      <w:r w:rsidRPr="009D59B1">
        <w:rPr>
          <w:sz w:val="20"/>
          <w:szCs w:val="20"/>
        </w:rPr>
        <w:t xml:space="preserve"> sentences were provided for each of the 56 vocabulary items. Then, the items were randomly ordered, and randomly assigned to true or false. For example, the target word </w:t>
      </w:r>
      <w:proofErr w:type="gramStart"/>
      <w:r w:rsidRPr="008014A0">
        <w:rPr>
          <w:i/>
          <w:sz w:val="20"/>
          <w:szCs w:val="20"/>
        </w:rPr>
        <w:t>enemie</w:t>
      </w:r>
      <w:r w:rsidR="008014A0">
        <w:rPr>
          <w:i/>
          <w:sz w:val="20"/>
          <w:szCs w:val="20"/>
        </w:rPr>
        <w:t>s</w:t>
      </w:r>
      <w:r w:rsidRPr="009D59B1">
        <w:rPr>
          <w:sz w:val="20"/>
          <w:szCs w:val="20"/>
        </w:rPr>
        <w:t xml:space="preserve"> was</w:t>
      </w:r>
      <w:proofErr w:type="gramEnd"/>
      <w:r w:rsidRPr="009D59B1">
        <w:rPr>
          <w:sz w:val="20"/>
          <w:szCs w:val="20"/>
        </w:rPr>
        <w:t xml:space="preserve"> randomly assigned to false, and </w:t>
      </w:r>
      <w:proofErr w:type="spellStart"/>
      <w:r w:rsidRPr="009D59B1">
        <w:rPr>
          <w:sz w:val="20"/>
          <w:szCs w:val="20"/>
        </w:rPr>
        <w:t>its</w:t>
      </w:r>
      <w:proofErr w:type="spellEnd"/>
      <w:r w:rsidRPr="009D59B1">
        <w:rPr>
          <w:sz w:val="20"/>
          <w:szCs w:val="20"/>
        </w:rPr>
        <w:t xml:space="preserve"> silly sentence was </w:t>
      </w:r>
      <w:r w:rsidRPr="008014A0">
        <w:rPr>
          <w:i/>
          <w:sz w:val="20"/>
          <w:szCs w:val="20"/>
        </w:rPr>
        <w:t>Enemies are good friends.</w:t>
      </w:r>
      <w:r w:rsidR="008014A0">
        <w:rPr>
          <w:i/>
          <w:sz w:val="20"/>
          <w:szCs w:val="20"/>
        </w:rPr>
        <w:t xml:space="preserve"> </w:t>
      </w:r>
      <w:r w:rsidRPr="009D59B1">
        <w:rPr>
          <w:sz w:val="20"/>
          <w:szCs w:val="20"/>
        </w:rPr>
        <w:t xml:space="preserve">An example of a true sentence for the target word </w:t>
      </w:r>
      <w:r w:rsidRPr="008014A0">
        <w:rPr>
          <w:i/>
          <w:sz w:val="20"/>
          <w:szCs w:val="20"/>
        </w:rPr>
        <w:t>covers</w:t>
      </w:r>
      <w:r w:rsidRPr="009D59B1">
        <w:rPr>
          <w:sz w:val="20"/>
          <w:szCs w:val="20"/>
        </w:rPr>
        <w:t xml:space="preserve"> was </w:t>
      </w:r>
      <w:proofErr w:type="gramStart"/>
      <w:r w:rsidRPr="008014A0">
        <w:rPr>
          <w:i/>
          <w:sz w:val="20"/>
          <w:szCs w:val="20"/>
        </w:rPr>
        <w:t>A</w:t>
      </w:r>
      <w:proofErr w:type="gramEnd"/>
      <w:r w:rsidR="008014A0">
        <w:rPr>
          <w:i/>
          <w:sz w:val="20"/>
          <w:szCs w:val="20"/>
        </w:rPr>
        <w:t xml:space="preserve"> hat covers the top of my head.</w:t>
      </w:r>
      <w:r w:rsidRPr="008014A0">
        <w:rPr>
          <w:i/>
          <w:sz w:val="20"/>
          <w:szCs w:val="20"/>
        </w:rPr>
        <w:t xml:space="preserve"> </w:t>
      </w:r>
      <w:r w:rsidRPr="009D59B1">
        <w:rPr>
          <w:sz w:val="20"/>
          <w:szCs w:val="20"/>
        </w:rPr>
        <w:t xml:space="preserve">Students circled </w:t>
      </w:r>
      <w:proofErr w:type="gramStart"/>
      <w:r w:rsidRPr="009D59B1">
        <w:rPr>
          <w:sz w:val="20"/>
          <w:szCs w:val="20"/>
        </w:rPr>
        <w:t xml:space="preserve">a </w:t>
      </w:r>
      <w:r w:rsidRPr="008014A0">
        <w:rPr>
          <w:i/>
          <w:sz w:val="20"/>
          <w:szCs w:val="20"/>
        </w:rPr>
        <w:t>thumbs</w:t>
      </w:r>
      <w:proofErr w:type="gramEnd"/>
      <w:r w:rsidRPr="008014A0">
        <w:rPr>
          <w:i/>
          <w:sz w:val="20"/>
          <w:szCs w:val="20"/>
        </w:rPr>
        <w:t xml:space="preserve"> up</w:t>
      </w:r>
      <w:r w:rsidR="008014A0">
        <w:rPr>
          <w:i/>
          <w:sz w:val="20"/>
          <w:szCs w:val="20"/>
        </w:rPr>
        <w:t xml:space="preserve"> </w:t>
      </w:r>
      <w:r w:rsidRPr="009D59B1">
        <w:rPr>
          <w:sz w:val="20"/>
          <w:szCs w:val="20"/>
        </w:rPr>
        <w:t xml:space="preserve">for true or a </w:t>
      </w:r>
      <w:r w:rsidRPr="008014A0">
        <w:rPr>
          <w:i/>
          <w:sz w:val="20"/>
          <w:szCs w:val="20"/>
        </w:rPr>
        <w:t>thumbs down</w:t>
      </w:r>
      <w:r w:rsidRPr="009D59B1">
        <w:rPr>
          <w:sz w:val="20"/>
          <w:szCs w:val="20"/>
        </w:rPr>
        <w:t xml:space="preserve"> for false. Inter-item reliability for this measure at pretest was </w:t>
      </w:r>
      <w:r w:rsidRPr="009D59B1">
        <w:rPr>
          <w:sz w:val="20"/>
          <w:szCs w:val="20"/>
        </w:rPr>
        <w:sym w:font="Symbol" w:char="F061"/>
      </w:r>
      <w:r w:rsidRPr="009D59B1">
        <w:rPr>
          <w:sz w:val="20"/>
          <w:szCs w:val="20"/>
        </w:rPr>
        <w:t xml:space="preserve"> = .75 and at posttest was </w:t>
      </w:r>
      <w:r w:rsidRPr="009D59B1">
        <w:rPr>
          <w:sz w:val="20"/>
          <w:szCs w:val="20"/>
        </w:rPr>
        <w:sym w:font="Symbol" w:char="F061"/>
      </w:r>
      <w:r w:rsidRPr="009D59B1">
        <w:rPr>
          <w:sz w:val="20"/>
          <w:szCs w:val="20"/>
        </w:rPr>
        <w:t xml:space="preserve"> = .84. This measure correlated moderately with two standardized measures: Peabody Picture Vocabulary Test (Dunn &amp; Dunn, 1997) and the Expressive One-Word Vocabulary Test (Brownell, 2000); in both cases, </w:t>
      </w:r>
      <w:r w:rsidRPr="009D59B1">
        <w:rPr>
          <w:i/>
          <w:sz w:val="20"/>
          <w:szCs w:val="20"/>
        </w:rPr>
        <w:t>r</w:t>
      </w:r>
      <w:r w:rsidRPr="009D59B1">
        <w:rPr>
          <w:i/>
          <w:sz w:val="20"/>
          <w:szCs w:val="20"/>
          <w:vertAlign w:val="superscript"/>
        </w:rPr>
        <w:t>2</w:t>
      </w:r>
      <w:r w:rsidRPr="009D59B1">
        <w:rPr>
          <w:sz w:val="20"/>
          <w:szCs w:val="20"/>
        </w:rPr>
        <w:t xml:space="preserve"> = .68, </w:t>
      </w:r>
      <w:r w:rsidRPr="009D59B1">
        <w:rPr>
          <w:i/>
          <w:sz w:val="20"/>
          <w:szCs w:val="20"/>
        </w:rPr>
        <w:t>p</w:t>
      </w:r>
      <w:r w:rsidRPr="009D59B1">
        <w:rPr>
          <w:sz w:val="20"/>
          <w:szCs w:val="20"/>
        </w:rPr>
        <w:t xml:space="preserve"> &lt; .01. </w:t>
      </w:r>
    </w:p>
    <w:p w:rsidR="008014A0" w:rsidRDefault="008014A0" w:rsidP="008014A0">
      <w:pPr>
        <w:jc w:val="both"/>
        <w:rPr>
          <w:i/>
          <w:sz w:val="20"/>
          <w:szCs w:val="20"/>
        </w:rPr>
      </w:pPr>
    </w:p>
    <w:p w:rsidR="00FC3FB6" w:rsidRPr="009D59B1" w:rsidRDefault="00FC3FB6" w:rsidP="008014A0">
      <w:pPr>
        <w:jc w:val="both"/>
        <w:rPr>
          <w:i/>
          <w:sz w:val="20"/>
          <w:szCs w:val="20"/>
        </w:rPr>
      </w:pPr>
      <w:proofErr w:type="gramStart"/>
      <w:r w:rsidRPr="009D59B1">
        <w:rPr>
          <w:i/>
          <w:sz w:val="20"/>
          <w:szCs w:val="20"/>
        </w:rPr>
        <w:t>Phonological decoding.</w:t>
      </w:r>
      <w:proofErr w:type="gramEnd"/>
      <w:r w:rsidRPr="009D59B1">
        <w:rPr>
          <w:i/>
          <w:sz w:val="20"/>
          <w:szCs w:val="20"/>
        </w:rPr>
        <w:t xml:space="preserve"> </w:t>
      </w:r>
      <w:r w:rsidRPr="009D59B1">
        <w:rPr>
          <w:sz w:val="20"/>
          <w:szCs w:val="20"/>
        </w:rPr>
        <w:t xml:space="preserve">The Dynamic Indicators of Basic Early Literacy Skills (DIBELS, See Good, Simmons, </w:t>
      </w:r>
      <w:proofErr w:type="spellStart"/>
      <w:r w:rsidRPr="009D59B1">
        <w:rPr>
          <w:sz w:val="20"/>
          <w:szCs w:val="20"/>
        </w:rPr>
        <w:t>Kame'enui</w:t>
      </w:r>
      <w:proofErr w:type="spellEnd"/>
      <w:r w:rsidRPr="009D59B1">
        <w:rPr>
          <w:sz w:val="20"/>
          <w:szCs w:val="20"/>
        </w:rPr>
        <w:t xml:space="preserve">, Kaminski, &amp; </w:t>
      </w:r>
      <w:proofErr w:type="spellStart"/>
      <w:r w:rsidRPr="009D59B1">
        <w:rPr>
          <w:sz w:val="20"/>
          <w:szCs w:val="20"/>
        </w:rPr>
        <w:t>Wallin</w:t>
      </w:r>
      <w:proofErr w:type="spellEnd"/>
      <w:r w:rsidRPr="009D59B1">
        <w:rPr>
          <w:sz w:val="20"/>
          <w:szCs w:val="20"/>
        </w:rPr>
        <w:t>, 2002) Nonsense Word Fluency (NWF; first grade) subtest measures the alphabetic principle and requires PA and phonics skills that are appropriate for screening first grade EL for reading difficulties (</w:t>
      </w:r>
      <w:proofErr w:type="spellStart"/>
      <w:r w:rsidRPr="009D59B1">
        <w:rPr>
          <w:sz w:val="20"/>
          <w:szCs w:val="20"/>
        </w:rPr>
        <w:t>Gersten</w:t>
      </w:r>
      <w:proofErr w:type="spellEnd"/>
      <w:r w:rsidRPr="009D59B1">
        <w:rPr>
          <w:sz w:val="20"/>
          <w:szCs w:val="20"/>
        </w:rPr>
        <w:t xml:space="preserve"> et al., 2007). In this task, students were presented with a probe sheet, and asked to read the sounds of the nonsense word or read the word (e.g., </w:t>
      </w:r>
      <w:proofErr w:type="spellStart"/>
      <w:r w:rsidR="008014A0">
        <w:rPr>
          <w:i/>
          <w:sz w:val="20"/>
          <w:szCs w:val="20"/>
        </w:rPr>
        <w:t>jac</w:t>
      </w:r>
      <w:proofErr w:type="spellEnd"/>
      <w:r w:rsidRPr="008014A0">
        <w:rPr>
          <w:sz w:val="20"/>
          <w:szCs w:val="20"/>
        </w:rPr>
        <w:t>)</w:t>
      </w:r>
      <w:r w:rsidRPr="008014A0">
        <w:rPr>
          <w:i/>
          <w:sz w:val="20"/>
          <w:szCs w:val="20"/>
        </w:rPr>
        <w:t>.</w:t>
      </w:r>
      <w:r w:rsidRPr="009D59B1">
        <w:rPr>
          <w:sz w:val="20"/>
          <w:szCs w:val="20"/>
        </w:rPr>
        <w:t xml:space="preserve"> Each correct sound was scored as a point, regardless of whether it was blended with the other sounds in the nonsense word or on its own. Total score was the number of correct sounds per minute. </w:t>
      </w:r>
    </w:p>
    <w:p w:rsidR="008014A0" w:rsidRDefault="008014A0" w:rsidP="009D59B1">
      <w:pPr>
        <w:jc w:val="both"/>
        <w:rPr>
          <w:i/>
          <w:sz w:val="20"/>
          <w:szCs w:val="20"/>
        </w:rPr>
      </w:pPr>
    </w:p>
    <w:p w:rsidR="00FC3FB6" w:rsidRPr="009D59B1" w:rsidRDefault="00FC3FB6" w:rsidP="009D59B1">
      <w:pPr>
        <w:jc w:val="both"/>
        <w:rPr>
          <w:i/>
          <w:sz w:val="20"/>
          <w:szCs w:val="20"/>
        </w:rPr>
      </w:pPr>
      <w:r w:rsidRPr="009D59B1">
        <w:rPr>
          <w:i/>
          <w:sz w:val="20"/>
          <w:szCs w:val="20"/>
        </w:rPr>
        <w:t>Intervention Procedures</w:t>
      </w:r>
    </w:p>
    <w:p w:rsidR="00FC3FB6" w:rsidRPr="009D59B1" w:rsidRDefault="00FC3FB6" w:rsidP="008014A0">
      <w:pPr>
        <w:jc w:val="both"/>
        <w:rPr>
          <w:sz w:val="20"/>
          <w:szCs w:val="20"/>
        </w:rPr>
      </w:pPr>
      <w:r w:rsidRPr="009D59B1">
        <w:rPr>
          <w:sz w:val="20"/>
          <w:szCs w:val="20"/>
        </w:rPr>
        <w:t xml:space="preserve">Students were instructed in small groups by trained undergraduate and graduate researchers. The push-in intervention was supplemental to their typical classroom instruction in reading and language arts. That is, a classroom-based intervention model in which instruction is delivered in the classroom rather than removing students for one-on-one or small group instruction. All groups received an average of 15 </w:t>
      </w:r>
      <w:r w:rsidRPr="009D59B1">
        <w:rPr>
          <w:sz w:val="20"/>
          <w:szCs w:val="20"/>
        </w:rPr>
        <w:lastRenderedPageBreak/>
        <w:t>minutes of supplementary instruction per day, four days a week fo</w:t>
      </w:r>
      <w:r w:rsidR="00F10C39" w:rsidRPr="009D59B1">
        <w:rPr>
          <w:sz w:val="20"/>
          <w:szCs w:val="20"/>
        </w:rPr>
        <w:t xml:space="preserve">r eight weeks, for a </w:t>
      </w:r>
      <w:r w:rsidRPr="009D59B1">
        <w:rPr>
          <w:sz w:val="20"/>
          <w:szCs w:val="20"/>
        </w:rPr>
        <w:t>total</w:t>
      </w:r>
      <w:r w:rsidR="00F10C39" w:rsidRPr="009D59B1">
        <w:rPr>
          <w:sz w:val="20"/>
          <w:szCs w:val="20"/>
        </w:rPr>
        <w:t xml:space="preserve"> of 435</w:t>
      </w:r>
      <w:r w:rsidRPr="009D59B1">
        <w:rPr>
          <w:sz w:val="20"/>
          <w:szCs w:val="20"/>
        </w:rPr>
        <w:t xml:space="preserve"> possible instructional minutes. On average, students received 26.3 days of instruction (</w:t>
      </w:r>
      <w:r w:rsidRPr="009D59B1">
        <w:rPr>
          <w:i/>
          <w:sz w:val="20"/>
          <w:szCs w:val="20"/>
        </w:rPr>
        <w:t>SD</w:t>
      </w:r>
      <w:r w:rsidRPr="009D59B1">
        <w:rPr>
          <w:sz w:val="20"/>
          <w:szCs w:val="20"/>
        </w:rPr>
        <w:t xml:space="preserve"> = 2.26) across an 8-week period, and therefore an average of 394.5 minutes. </w:t>
      </w:r>
    </w:p>
    <w:p w:rsidR="008014A0" w:rsidRDefault="008014A0" w:rsidP="008014A0">
      <w:pPr>
        <w:jc w:val="both"/>
        <w:rPr>
          <w:sz w:val="20"/>
          <w:szCs w:val="20"/>
        </w:rPr>
      </w:pPr>
    </w:p>
    <w:p w:rsidR="00FC3FB6" w:rsidRPr="009D59B1" w:rsidRDefault="00FC3FB6" w:rsidP="008014A0">
      <w:pPr>
        <w:jc w:val="both"/>
        <w:rPr>
          <w:sz w:val="20"/>
          <w:szCs w:val="20"/>
        </w:rPr>
      </w:pPr>
      <w:r w:rsidRPr="009D59B1">
        <w:rPr>
          <w:sz w:val="20"/>
          <w:szCs w:val="20"/>
        </w:rPr>
        <w:t xml:space="preserve">In all three conditions instructors were trained in the Core Intervention Model (Gerber et al 2004; Richards &amp; </w:t>
      </w:r>
      <w:proofErr w:type="spellStart"/>
      <w:r w:rsidRPr="009D59B1">
        <w:rPr>
          <w:sz w:val="20"/>
          <w:szCs w:val="20"/>
        </w:rPr>
        <w:t>Leafstedt</w:t>
      </w:r>
      <w:proofErr w:type="spellEnd"/>
      <w:r w:rsidRPr="009D59B1">
        <w:rPr>
          <w:sz w:val="20"/>
          <w:szCs w:val="20"/>
        </w:rPr>
        <w:t xml:space="preserve">, 2010). In this model instruction is fast-paced and systematically uses a fixed procedure for scaffolding with graduated prompts to ensure a high rate of correct response. The model has important similarities to direct instruction and strategy components that have proved effective for students who are at substantial risk for learning failure (e.g., Swanson &amp; </w:t>
      </w:r>
      <w:proofErr w:type="spellStart"/>
      <w:r w:rsidRPr="009D59B1">
        <w:rPr>
          <w:sz w:val="20"/>
          <w:szCs w:val="20"/>
        </w:rPr>
        <w:t>Hoskyn</w:t>
      </w:r>
      <w:proofErr w:type="spellEnd"/>
      <w:r w:rsidRPr="009D59B1">
        <w:rPr>
          <w:sz w:val="20"/>
          <w:szCs w:val="20"/>
        </w:rPr>
        <w:t xml:space="preserve">, 1998).  CIM elicits a high density of responses, which create opportunities to provide reinforcement (social praise) and structured, corrective feedback. CIM has been previously implemented with high fidelity in several intervention studies (Gerber et al., 2004; </w:t>
      </w:r>
      <w:proofErr w:type="spellStart"/>
      <w:r w:rsidRPr="009D59B1">
        <w:rPr>
          <w:sz w:val="20"/>
          <w:szCs w:val="20"/>
        </w:rPr>
        <w:t>Leafstedt</w:t>
      </w:r>
      <w:proofErr w:type="spellEnd"/>
      <w:r w:rsidRPr="009D59B1">
        <w:rPr>
          <w:sz w:val="20"/>
          <w:szCs w:val="20"/>
        </w:rPr>
        <w:t xml:space="preserve">, Richards, &amp; Gerber, 2004; Richards, 2004; </w:t>
      </w:r>
      <w:proofErr w:type="spellStart"/>
      <w:r w:rsidRPr="009D59B1">
        <w:rPr>
          <w:sz w:val="20"/>
          <w:szCs w:val="20"/>
        </w:rPr>
        <w:t>Solari</w:t>
      </w:r>
      <w:proofErr w:type="spellEnd"/>
      <w:r w:rsidRPr="009D59B1">
        <w:rPr>
          <w:sz w:val="20"/>
          <w:szCs w:val="20"/>
        </w:rPr>
        <w:t xml:space="preserve"> &amp; Gerber, 2008).</w:t>
      </w:r>
    </w:p>
    <w:p w:rsidR="008014A0" w:rsidRDefault="008014A0" w:rsidP="009D59B1">
      <w:pPr>
        <w:jc w:val="both"/>
        <w:rPr>
          <w:i/>
          <w:sz w:val="20"/>
          <w:szCs w:val="20"/>
        </w:rPr>
      </w:pPr>
    </w:p>
    <w:p w:rsidR="00FC3FB6" w:rsidRPr="009D59B1" w:rsidRDefault="00FC3FB6" w:rsidP="009D59B1">
      <w:pPr>
        <w:jc w:val="both"/>
        <w:rPr>
          <w:i/>
          <w:sz w:val="20"/>
          <w:szCs w:val="20"/>
        </w:rPr>
      </w:pPr>
      <w:r w:rsidRPr="009D59B1">
        <w:rPr>
          <w:i/>
          <w:sz w:val="20"/>
          <w:szCs w:val="20"/>
        </w:rPr>
        <w:t>Treatment Fidelity</w:t>
      </w:r>
    </w:p>
    <w:p w:rsidR="00FC3FB6" w:rsidRPr="009D59B1" w:rsidRDefault="00FC3FB6" w:rsidP="008014A0">
      <w:pPr>
        <w:jc w:val="both"/>
        <w:rPr>
          <w:i/>
          <w:sz w:val="20"/>
          <w:szCs w:val="20"/>
        </w:rPr>
      </w:pPr>
      <w:r w:rsidRPr="009D59B1">
        <w:rPr>
          <w:sz w:val="20"/>
          <w:szCs w:val="20"/>
        </w:rPr>
        <w:t xml:space="preserve">Due to the scripted nature of the lessons, fidelity for treatment content was highly regulated. To identify fidelity of CIM implementation, two measures of treatment fidelity were collected on 30% of intervention sessions. On average over the eight weeks of instruction, critical CIM components were implemented over 77% of the time, and there were on average 7.55 response opportunities per minute. </w:t>
      </w:r>
    </w:p>
    <w:p w:rsidR="008014A0" w:rsidRDefault="008014A0" w:rsidP="009D59B1">
      <w:pPr>
        <w:jc w:val="both"/>
        <w:rPr>
          <w:i/>
          <w:sz w:val="20"/>
          <w:szCs w:val="20"/>
        </w:rPr>
      </w:pPr>
    </w:p>
    <w:p w:rsidR="00FC3FB6" w:rsidRPr="009D59B1" w:rsidRDefault="00FC3FB6" w:rsidP="009D59B1">
      <w:pPr>
        <w:jc w:val="both"/>
        <w:rPr>
          <w:i/>
          <w:sz w:val="20"/>
          <w:szCs w:val="20"/>
        </w:rPr>
      </w:pPr>
      <w:r w:rsidRPr="009D59B1">
        <w:rPr>
          <w:i/>
          <w:sz w:val="20"/>
          <w:szCs w:val="20"/>
        </w:rPr>
        <w:t>Intervention Content</w:t>
      </w:r>
    </w:p>
    <w:p w:rsidR="00FC3FB6" w:rsidRPr="009D59B1" w:rsidRDefault="00FC3FB6" w:rsidP="008014A0">
      <w:pPr>
        <w:jc w:val="both"/>
        <w:rPr>
          <w:sz w:val="20"/>
          <w:szCs w:val="20"/>
        </w:rPr>
      </w:pPr>
      <w:r w:rsidRPr="009D59B1">
        <w:rPr>
          <w:sz w:val="20"/>
          <w:szCs w:val="20"/>
        </w:rPr>
        <w:t xml:space="preserve">All instructional conditions shared the following features: frequency, duration and number of lessons; group size; expository passage read-aloud and instructional model (CIM). Each week, an expository passage was read aloud to students in all conditions. These passages were selected from first grade science texts that students were not exposed to outside of the intervention. </w:t>
      </w:r>
      <w:proofErr w:type="spellStart"/>
      <w:r w:rsidRPr="009D59B1">
        <w:rPr>
          <w:sz w:val="20"/>
          <w:szCs w:val="20"/>
        </w:rPr>
        <w:t>Vocab</w:t>
      </w:r>
      <w:proofErr w:type="spellEnd"/>
      <w:r w:rsidRPr="009D59B1">
        <w:rPr>
          <w:sz w:val="20"/>
          <w:szCs w:val="20"/>
        </w:rPr>
        <w:t>-Plus vocabulary words were drawn directly from each week’s passage and taught to students in the MA and SR conditions (see below).</w:t>
      </w:r>
    </w:p>
    <w:p w:rsidR="008014A0" w:rsidRDefault="008014A0" w:rsidP="008014A0">
      <w:pPr>
        <w:jc w:val="both"/>
        <w:rPr>
          <w:sz w:val="20"/>
          <w:szCs w:val="20"/>
        </w:rPr>
      </w:pPr>
    </w:p>
    <w:p w:rsidR="00FC3FB6" w:rsidRPr="009D59B1" w:rsidRDefault="00FC3FB6" w:rsidP="008014A0">
      <w:pPr>
        <w:jc w:val="both"/>
        <w:rPr>
          <w:i/>
          <w:sz w:val="20"/>
          <w:szCs w:val="20"/>
        </w:rPr>
      </w:pPr>
      <w:r w:rsidRPr="009D59B1">
        <w:rPr>
          <w:sz w:val="20"/>
          <w:szCs w:val="20"/>
        </w:rPr>
        <w:t xml:space="preserve">All conditions included explicit instruction in phonological awareness and decoding, including phonics (PAD). However, the proportion of PAD varied between the PAD condition (100% PAD) and the </w:t>
      </w:r>
      <w:proofErr w:type="spellStart"/>
      <w:r w:rsidRPr="009D59B1">
        <w:rPr>
          <w:sz w:val="20"/>
          <w:szCs w:val="20"/>
        </w:rPr>
        <w:t>Vocab</w:t>
      </w:r>
      <w:proofErr w:type="spellEnd"/>
      <w:r w:rsidRPr="009D59B1">
        <w:rPr>
          <w:sz w:val="20"/>
          <w:szCs w:val="20"/>
        </w:rPr>
        <w:t xml:space="preserve">+ conditions (70% vocabulary instruction, 30% PAD). Within the two vocabulary-added conditions, </w:t>
      </w:r>
      <w:proofErr w:type="spellStart"/>
      <w:r w:rsidRPr="009D59B1">
        <w:rPr>
          <w:sz w:val="20"/>
          <w:szCs w:val="20"/>
        </w:rPr>
        <w:t>Vocab</w:t>
      </w:r>
      <w:proofErr w:type="spellEnd"/>
      <w:r w:rsidRPr="009D59B1">
        <w:rPr>
          <w:sz w:val="20"/>
          <w:szCs w:val="20"/>
        </w:rPr>
        <w:t xml:space="preserve">+ SR and </w:t>
      </w:r>
      <w:proofErr w:type="spellStart"/>
      <w:r w:rsidRPr="009D59B1">
        <w:rPr>
          <w:sz w:val="20"/>
          <w:szCs w:val="20"/>
        </w:rPr>
        <w:t>Vocab</w:t>
      </w:r>
      <w:proofErr w:type="spellEnd"/>
      <w:r w:rsidRPr="009D59B1">
        <w:rPr>
          <w:sz w:val="20"/>
          <w:szCs w:val="20"/>
        </w:rPr>
        <w:t xml:space="preserve">+ MA, the specific vocabulary instructional methods differed. Table </w:t>
      </w:r>
      <w:r w:rsidR="00BD581D" w:rsidRPr="009D59B1">
        <w:rPr>
          <w:sz w:val="20"/>
          <w:szCs w:val="20"/>
        </w:rPr>
        <w:t>3</w:t>
      </w:r>
      <w:r w:rsidRPr="009D59B1">
        <w:rPr>
          <w:sz w:val="20"/>
          <w:szCs w:val="20"/>
        </w:rPr>
        <w:t xml:space="preserve"> illustrates the proportion of time spent on PA, decoding, and vocabulary the three conditions.</w:t>
      </w:r>
    </w:p>
    <w:p w:rsidR="008014A0" w:rsidRDefault="008014A0" w:rsidP="009D59B1">
      <w:pPr>
        <w:jc w:val="both"/>
        <w:rPr>
          <w:i/>
          <w:sz w:val="20"/>
          <w:szCs w:val="20"/>
        </w:rPr>
      </w:pPr>
    </w:p>
    <w:p w:rsidR="00FC3FB6" w:rsidRPr="009D59B1" w:rsidRDefault="00FC3FB6" w:rsidP="009D59B1">
      <w:pPr>
        <w:jc w:val="both"/>
        <w:rPr>
          <w:i/>
          <w:sz w:val="20"/>
          <w:szCs w:val="20"/>
        </w:rPr>
      </w:pPr>
      <w:r w:rsidRPr="009D59B1">
        <w:rPr>
          <w:i/>
          <w:sz w:val="20"/>
          <w:szCs w:val="20"/>
        </w:rPr>
        <w:t>PAD Treatment-control Condition</w:t>
      </w:r>
    </w:p>
    <w:p w:rsidR="00FC3FB6" w:rsidRPr="009D59B1" w:rsidRDefault="00FC3FB6" w:rsidP="008014A0">
      <w:pPr>
        <w:jc w:val="both"/>
        <w:rPr>
          <w:sz w:val="20"/>
          <w:szCs w:val="20"/>
        </w:rPr>
      </w:pPr>
      <w:r w:rsidRPr="009D59B1">
        <w:rPr>
          <w:sz w:val="20"/>
          <w:szCs w:val="20"/>
        </w:rPr>
        <w:t xml:space="preserve">The PAD condition was based on a previously validated intervention from </w:t>
      </w:r>
      <w:r w:rsidRPr="009D59B1">
        <w:rPr>
          <w:i/>
          <w:sz w:val="20"/>
          <w:szCs w:val="20"/>
        </w:rPr>
        <w:t xml:space="preserve">Project La </w:t>
      </w:r>
      <w:proofErr w:type="spellStart"/>
      <w:r w:rsidRPr="009D59B1">
        <w:rPr>
          <w:i/>
          <w:sz w:val="20"/>
          <w:szCs w:val="20"/>
        </w:rPr>
        <w:t>Patera</w:t>
      </w:r>
      <w:proofErr w:type="spellEnd"/>
      <w:r w:rsidRPr="009D59B1">
        <w:rPr>
          <w:sz w:val="20"/>
          <w:szCs w:val="20"/>
        </w:rPr>
        <w:t xml:space="preserve">, a 100% PA and decoding intervention that explicitly teaches identification, production, and manipulation of sounds in word- and sentence-level decoding (Gerber et al., 2004; </w:t>
      </w:r>
      <w:proofErr w:type="spellStart"/>
      <w:r w:rsidRPr="009D59B1">
        <w:rPr>
          <w:sz w:val="20"/>
          <w:szCs w:val="20"/>
        </w:rPr>
        <w:t>Leafstedt</w:t>
      </w:r>
      <w:proofErr w:type="spellEnd"/>
      <w:r w:rsidRPr="009D59B1">
        <w:rPr>
          <w:sz w:val="20"/>
          <w:szCs w:val="20"/>
        </w:rPr>
        <w:t xml:space="preserve">, Richards, &amp; Gerber, 2004). Phoneme sequences were introduced in order of complexity ranging from CVC to CCVCC. Sound and letter sequences were selected </w:t>
      </w:r>
      <w:r w:rsidR="00BC41AA" w:rsidRPr="009D59B1">
        <w:rPr>
          <w:sz w:val="20"/>
          <w:szCs w:val="20"/>
        </w:rPr>
        <w:t xml:space="preserve">to </w:t>
      </w:r>
      <w:proofErr w:type="spellStart"/>
      <w:r w:rsidR="00BC41AA" w:rsidRPr="009D59B1">
        <w:rPr>
          <w:sz w:val="20"/>
          <w:szCs w:val="20"/>
        </w:rPr>
        <w:t>preteach</w:t>
      </w:r>
      <w:proofErr w:type="spellEnd"/>
      <w:r w:rsidRPr="009D59B1">
        <w:rPr>
          <w:sz w:val="20"/>
          <w:szCs w:val="20"/>
        </w:rPr>
        <w:t xml:space="preserve"> upcoming lessons in the school-adopted reading curriculum. The lessons increased in difficulty in terms of word complexity and by moving from identification to production to manipulation of sounds. Each lesson began with a short PA warm-up activity, such as a round-robin rhyming game and was followed by in-depth activities on PA and decoding, including decoding in the context of a sentence.</w:t>
      </w:r>
    </w:p>
    <w:p w:rsidR="001210F2" w:rsidRDefault="001210F2" w:rsidP="001210F2">
      <w:pPr>
        <w:jc w:val="both"/>
        <w:rPr>
          <w:i/>
          <w:sz w:val="20"/>
          <w:szCs w:val="20"/>
        </w:rPr>
      </w:pPr>
    </w:p>
    <w:p w:rsidR="001210F2" w:rsidRPr="009D59B1" w:rsidRDefault="001210F2" w:rsidP="001210F2">
      <w:pPr>
        <w:jc w:val="both"/>
        <w:rPr>
          <w:i/>
          <w:sz w:val="20"/>
          <w:szCs w:val="20"/>
        </w:rPr>
      </w:pPr>
      <w:r w:rsidRPr="009D59B1">
        <w:rPr>
          <w:i/>
          <w:sz w:val="20"/>
          <w:szCs w:val="20"/>
        </w:rPr>
        <w:t xml:space="preserve">Vocabulary </w:t>
      </w:r>
      <w:proofErr w:type="gramStart"/>
      <w:r w:rsidRPr="009D59B1">
        <w:rPr>
          <w:i/>
          <w:sz w:val="20"/>
          <w:szCs w:val="20"/>
        </w:rPr>
        <w:t>Plus</w:t>
      </w:r>
      <w:proofErr w:type="gramEnd"/>
      <w:r w:rsidRPr="009D59B1">
        <w:rPr>
          <w:i/>
          <w:sz w:val="20"/>
          <w:szCs w:val="20"/>
        </w:rPr>
        <w:t xml:space="preserve"> PAD Conditions</w:t>
      </w:r>
    </w:p>
    <w:p w:rsidR="001210F2" w:rsidRDefault="001210F2" w:rsidP="001210F2">
      <w:pPr>
        <w:jc w:val="both"/>
        <w:rPr>
          <w:sz w:val="20"/>
          <w:szCs w:val="20"/>
        </w:rPr>
      </w:pPr>
      <w:r w:rsidRPr="009D59B1">
        <w:rPr>
          <w:sz w:val="20"/>
          <w:szCs w:val="20"/>
        </w:rPr>
        <w:t xml:space="preserve">In both </w:t>
      </w:r>
      <w:proofErr w:type="spellStart"/>
      <w:r w:rsidRPr="009D59B1">
        <w:rPr>
          <w:sz w:val="20"/>
          <w:szCs w:val="20"/>
        </w:rPr>
        <w:t>Vocab</w:t>
      </w:r>
      <w:proofErr w:type="spellEnd"/>
      <w:r w:rsidRPr="009D59B1">
        <w:rPr>
          <w:sz w:val="20"/>
          <w:szCs w:val="20"/>
        </w:rPr>
        <w:t xml:space="preserve">+ conditions, the same warm-up activity was used as in the PAD condition. Then, students were introduced to vocabulary words selected from the expository text that was read aloud to all groups. Word selection was consistent across the two conditions, and based on Beck, </w:t>
      </w:r>
      <w:proofErr w:type="spellStart"/>
      <w:r w:rsidRPr="009D59B1">
        <w:rPr>
          <w:sz w:val="20"/>
          <w:szCs w:val="20"/>
        </w:rPr>
        <w:t>McKeown</w:t>
      </w:r>
      <w:proofErr w:type="spellEnd"/>
      <w:r w:rsidRPr="009D59B1">
        <w:rPr>
          <w:sz w:val="20"/>
          <w:szCs w:val="20"/>
        </w:rPr>
        <w:t xml:space="preserve"> and </w:t>
      </w:r>
      <w:proofErr w:type="spellStart"/>
      <w:r w:rsidRPr="009D59B1">
        <w:rPr>
          <w:sz w:val="20"/>
          <w:szCs w:val="20"/>
        </w:rPr>
        <w:t>Kucan’s</w:t>
      </w:r>
      <w:proofErr w:type="spellEnd"/>
      <w:r w:rsidRPr="009D59B1">
        <w:rPr>
          <w:sz w:val="20"/>
          <w:szCs w:val="20"/>
        </w:rPr>
        <w:t xml:space="preserve"> tiers (2002). Tier II words, or those with relatively high frequency, high utility, and that are useful for understanding the text were selected. These words included nouns, verbs, adjectives, and adverbs and ranged from one to four syllables in length. The words included general words (e.g., sweet), topic specific words (e.g., soil), and cross-discipline academic words (e.g., usually).</w:t>
      </w:r>
    </w:p>
    <w:p w:rsidR="00D6658F" w:rsidRDefault="00D6658F" w:rsidP="001210F2">
      <w:pPr>
        <w:jc w:val="both"/>
        <w:rPr>
          <w:sz w:val="20"/>
          <w:szCs w:val="20"/>
        </w:rPr>
      </w:pPr>
    </w:p>
    <w:p w:rsidR="00D6658F" w:rsidRDefault="00D6658F" w:rsidP="00D6658F">
      <w:pPr>
        <w:jc w:val="both"/>
        <w:rPr>
          <w:sz w:val="20"/>
          <w:szCs w:val="20"/>
        </w:rPr>
      </w:pPr>
      <w:r w:rsidRPr="009D59B1">
        <w:rPr>
          <w:sz w:val="20"/>
          <w:szCs w:val="20"/>
        </w:rPr>
        <w:t xml:space="preserve">Words were introduced in the same manner in both </w:t>
      </w:r>
      <w:proofErr w:type="spellStart"/>
      <w:r w:rsidRPr="009D59B1">
        <w:rPr>
          <w:sz w:val="20"/>
          <w:szCs w:val="20"/>
        </w:rPr>
        <w:t>Vocab</w:t>
      </w:r>
      <w:proofErr w:type="spellEnd"/>
      <w:r w:rsidRPr="009D59B1">
        <w:rPr>
          <w:sz w:val="20"/>
          <w:szCs w:val="20"/>
        </w:rPr>
        <w:t xml:space="preserve">+ conditions. Pictures with labels were used throughout the lessons to remove the cognitive load of reading words and to provide a visual representation of the target words. Direct instruction in word meanings included the use of synonyms, antonyms, pictures, examples and non-examples, and definitional sentences. Instruction of target words was developed based on instructional research with monolingual, typically developing children (e.g., </w:t>
      </w:r>
      <w:r w:rsidRPr="009D59B1">
        <w:rPr>
          <w:sz w:val="20"/>
          <w:szCs w:val="20"/>
        </w:rPr>
        <w:lastRenderedPageBreak/>
        <w:t xml:space="preserve">Beck &amp; </w:t>
      </w:r>
      <w:proofErr w:type="spellStart"/>
      <w:r w:rsidRPr="009D59B1">
        <w:rPr>
          <w:sz w:val="20"/>
          <w:szCs w:val="20"/>
        </w:rPr>
        <w:t>McKeown</w:t>
      </w:r>
      <w:proofErr w:type="spellEnd"/>
      <w:r w:rsidRPr="009D59B1">
        <w:rPr>
          <w:sz w:val="20"/>
          <w:szCs w:val="20"/>
        </w:rPr>
        <w:t xml:space="preserve">, 1991; Nagy &amp; Scott, 2000), children with learning disabilities (see meta-analysis by </w:t>
      </w:r>
      <w:proofErr w:type="spellStart"/>
      <w:r w:rsidRPr="009D59B1">
        <w:rPr>
          <w:sz w:val="20"/>
          <w:szCs w:val="20"/>
        </w:rPr>
        <w:t>Jitendra</w:t>
      </w:r>
      <w:proofErr w:type="spellEnd"/>
      <w:r w:rsidRPr="009D59B1">
        <w:rPr>
          <w:sz w:val="20"/>
          <w:szCs w:val="20"/>
        </w:rPr>
        <w:t xml:space="preserve">, 2004), and EL (e.g., Carlo et al., 2004; see </w:t>
      </w:r>
      <w:proofErr w:type="spellStart"/>
      <w:r w:rsidRPr="009D59B1">
        <w:rPr>
          <w:sz w:val="20"/>
          <w:szCs w:val="20"/>
        </w:rPr>
        <w:t>Lesaux</w:t>
      </w:r>
      <w:proofErr w:type="spellEnd"/>
      <w:r w:rsidRPr="009D59B1">
        <w:rPr>
          <w:sz w:val="20"/>
          <w:szCs w:val="20"/>
        </w:rPr>
        <w:t xml:space="preserve"> &amp; </w:t>
      </w:r>
      <w:proofErr w:type="spellStart"/>
      <w:r w:rsidRPr="009D59B1">
        <w:rPr>
          <w:sz w:val="20"/>
          <w:szCs w:val="20"/>
        </w:rPr>
        <w:t>Geva</w:t>
      </w:r>
      <w:proofErr w:type="spellEnd"/>
      <w:r w:rsidRPr="009D59B1">
        <w:rPr>
          <w:sz w:val="20"/>
          <w:szCs w:val="20"/>
        </w:rPr>
        <w:t xml:space="preserve">, 2006). </w:t>
      </w:r>
    </w:p>
    <w:p w:rsidR="00D6658F" w:rsidRPr="00D6658F" w:rsidRDefault="00D6658F" w:rsidP="00D6658F">
      <w:pPr>
        <w:jc w:val="both"/>
        <w:rPr>
          <w:sz w:val="20"/>
          <w:szCs w:val="20"/>
        </w:rPr>
      </w:pPr>
    </w:p>
    <w:p w:rsidR="006C2ACF" w:rsidRPr="00084CAC" w:rsidRDefault="006C2ACF" w:rsidP="00084CAC">
      <w:pPr>
        <w:jc w:val="center"/>
        <w:rPr>
          <w:b/>
          <w:sz w:val="20"/>
          <w:szCs w:val="20"/>
        </w:rPr>
      </w:pPr>
      <w:proofErr w:type="gramStart"/>
      <w:r w:rsidRPr="008014A0">
        <w:rPr>
          <w:b/>
          <w:sz w:val="20"/>
          <w:szCs w:val="20"/>
        </w:rPr>
        <w:t xml:space="preserve">Table </w:t>
      </w:r>
      <w:r w:rsidR="00BD581D" w:rsidRPr="008014A0">
        <w:rPr>
          <w:b/>
          <w:sz w:val="20"/>
          <w:szCs w:val="20"/>
        </w:rPr>
        <w:t>3</w:t>
      </w:r>
      <w:r w:rsidR="008014A0">
        <w:rPr>
          <w:b/>
          <w:sz w:val="20"/>
          <w:szCs w:val="20"/>
        </w:rPr>
        <w:t>.</w:t>
      </w:r>
      <w:proofErr w:type="gramEnd"/>
      <w:r w:rsidR="008014A0" w:rsidRPr="008014A0">
        <w:rPr>
          <w:b/>
          <w:sz w:val="20"/>
          <w:szCs w:val="20"/>
        </w:rPr>
        <w:t xml:space="preserve"> Proportions and Content of Intervention Conditions</w:t>
      </w:r>
    </w:p>
    <w:p w:rsidR="008014A0" w:rsidRDefault="00354E0A" w:rsidP="008014A0">
      <w:pPr>
        <w:jc w:val="both"/>
        <w:rPr>
          <w:sz w:val="20"/>
          <w:szCs w:val="20"/>
        </w:rPr>
      </w:pPr>
      <w:r>
        <w:rPr>
          <w:noProof/>
          <w:sz w:val="20"/>
          <w:szCs w:val="20"/>
        </w:rPr>
        <w:drawing>
          <wp:inline distT="0" distB="0" distL="0" distR="0">
            <wp:extent cx="5366385" cy="2322764"/>
            <wp:effectExtent l="19050" t="0" r="5715"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5366385" cy="2322764"/>
                    </a:xfrm>
                    <a:prstGeom prst="rect">
                      <a:avLst/>
                    </a:prstGeom>
                    <a:noFill/>
                    <a:ln w="9525">
                      <a:noFill/>
                      <a:miter lim="800000"/>
                      <a:headEnd/>
                      <a:tailEnd/>
                    </a:ln>
                  </pic:spPr>
                </pic:pic>
              </a:graphicData>
            </a:graphic>
          </wp:inline>
        </w:drawing>
      </w:r>
    </w:p>
    <w:p w:rsidR="008014A0" w:rsidRDefault="008014A0" w:rsidP="008014A0">
      <w:pPr>
        <w:jc w:val="both"/>
        <w:rPr>
          <w:sz w:val="20"/>
          <w:szCs w:val="20"/>
        </w:rPr>
      </w:pPr>
    </w:p>
    <w:p w:rsidR="00FC3FB6" w:rsidRPr="009D59B1" w:rsidRDefault="00FC3FB6" w:rsidP="008014A0">
      <w:pPr>
        <w:jc w:val="both"/>
        <w:rPr>
          <w:sz w:val="20"/>
          <w:szCs w:val="20"/>
        </w:rPr>
      </w:pPr>
      <w:r w:rsidRPr="009D59B1">
        <w:rPr>
          <w:sz w:val="20"/>
          <w:szCs w:val="20"/>
        </w:rPr>
        <w:t xml:space="preserve">The program provided multiple exposures in a wide variety of contexts, both within and across lessons. Specifically, words were revisited throughout the eight weeks, and embedded into later activities. Students had many opportunities to develop and demonstrate mastery by identifying and producing target words and their meanings. For example, in </w:t>
      </w:r>
      <w:r w:rsidR="008014A0">
        <w:rPr>
          <w:sz w:val="20"/>
          <w:szCs w:val="20"/>
        </w:rPr>
        <w:t xml:space="preserve">the </w:t>
      </w:r>
      <w:r w:rsidRPr="008014A0">
        <w:rPr>
          <w:i/>
          <w:sz w:val="20"/>
          <w:szCs w:val="20"/>
        </w:rPr>
        <w:t>grab bag</w:t>
      </w:r>
      <w:r w:rsidRPr="009D59B1">
        <w:rPr>
          <w:sz w:val="20"/>
          <w:szCs w:val="20"/>
        </w:rPr>
        <w:t xml:space="preserve"> activity, instructors tracked the words pulled from the grab bag to make sure that review words were being discussed as well as novel words. Each condition emphasized different aspects of the words.</w:t>
      </w:r>
    </w:p>
    <w:p w:rsidR="008014A0" w:rsidRDefault="008014A0" w:rsidP="008014A0">
      <w:pPr>
        <w:jc w:val="both"/>
        <w:rPr>
          <w:i/>
          <w:sz w:val="20"/>
          <w:szCs w:val="20"/>
        </w:rPr>
      </w:pPr>
    </w:p>
    <w:p w:rsidR="00FC3FB6" w:rsidRPr="009D59B1" w:rsidRDefault="00FC3FB6" w:rsidP="008014A0">
      <w:pPr>
        <w:jc w:val="both"/>
        <w:rPr>
          <w:sz w:val="20"/>
          <w:szCs w:val="20"/>
        </w:rPr>
      </w:pPr>
      <w:proofErr w:type="spellStart"/>
      <w:r w:rsidRPr="009D59B1">
        <w:rPr>
          <w:i/>
          <w:sz w:val="20"/>
          <w:szCs w:val="20"/>
        </w:rPr>
        <w:t>Vocab</w:t>
      </w:r>
      <w:proofErr w:type="spellEnd"/>
      <w:r w:rsidRPr="009D59B1">
        <w:rPr>
          <w:i/>
          <w:sz w:val="20"/>
          <w:szCs w:val="20"/>
        </w:rPr>
        <w:t>+ semantic relations condition (</w:t>
      </w:r>
      <w:proofErr w:type="spellStart"/>
      <w:r w:rsidRPr="009D59B1">
        <w:rPr>
          <w:i/>
          <w:sz w:val="20"/>
          <w:szCs w:val="20"/>
        </w:rPr>
        <w:t>Vocab</w:t>
      </w:r>
      <w:proofErr w:type="spellEnd"/>
      <w:r w:rsidRPr="009D59B1">
        <w:rPr>
          <w:i/>
          <w:sz w:val="20"/>
          <w:szCs w:val="20"/>
        </w:rPr>
        <w:t xml:space="preserve">+). </w:t>
      </w:r>
      <w:r w:rsidRPr="009D59B1">
        <w:rPr>
          <w:sz w:val="20"/>
          <w:szCs w:val="20"/>
        </w:rPr>
        <w:t xml:space="preserve">This condition focused on meanings of words and their relationships among each other, that is, how meaning is organized within the lexicon. Students were taught to group words based on their meanings beginning with two categories that were presented by the instructor, using activities such as picture sorts. As students’ understanding of relationships increased, they began to group and categorize target words according to relationships among their meanings. Once students demonstrated mastery in grouping, they moved on to comparing and contrasting concepts and words. Finally, students compared and contrasted semantic features of words, that is, minimal contrastive elements. </w:t>
      </w:r>
    </w:p>
    <w:p w:rsidR="008014A0" w:rsidRDefault="008014A0" w:rsidP="008014A0">
      <w:pPr>
        <w:jc w:val="both"/>
        <w:rPr>
          <w:sz w:val="20"/>
          <w:szCs w:val="20"/>
        </w:rPr>
      </w:pPr>
    </w:p>
    <w:p w:rsidR="00E233B1" w:rsidRDefault="00FC3FB6" w:rsidP="008014A0">
      <w:pPr>
        <w:jc w:val="both"/>
        <w:rPr>
          <w:sz w:val="20"/>
          <w:szCs w:val="20"/>
        </w:rPr>
      </w:pPr>
      <w:r w:rsidRPr="009D59B1">
        <w:rPr>
          <w:sz w:val="20"/>
          <w:szCs w:val="20"/>
        </w:rPr>
        <w:t xml:space="preserve">Semantic features are underlying properties of the word, and unlike morphemes not necessarily identifiable in the orthography </w:t>
      </w:r>
      <w:r w:rsidR="008014A0">
        <w:rPr>
          <w:sz w:val="20"/>
          <w:szCs w:val="20"/>
        </w:rPr>
        <w:t xml:space="preserve">or pronunciation. For example, </w:t>
      </w:r>
      <w:r w:rsidRPr="008014A0">
        <w:rPr>
          <w:i/>
          <w:sz w:val="20"/>
          <w:szCs w:val="20"/>
        </w:rPr>
        <w:t>bushes</w:t>
      </w:r>
      <w:r w:rsidRPr="009D59B1">
        <w:rPr>
          <w:sz w:val="20"/>
          <w:szCs w:val="20"/>
        </w:rPr>
        <w:t xml:space="preserve"> and </w:t>
      </w:r>
      <w:r w:rsidRPr="008014A0">
        <w:rPr>
          <w:i/>
          <w:sz w:val="20"/>
          <w:szCs w:val="20"/>
        </w:rPr>
        <w:t>weeds</w:t>
      </w:r>
      <w:r w:rsidRPr="009D59B1">
        <w:rPr>
          <w:sz w:val="20"/>
          <w:szCs w:val="20"/>
        </w:rPr>
        <w:t xml:space="preserve"> are both alive, have roots, need water to live, and share other similarities, but </w:t>
      </w:r>
      <w:r w:rsidR="004E5093" w:rsidRPr="009D59B1">
        <w:rPr>
          <w:sz w:val="20"/>
          <w:szCs w:val="20"/>
        </w:rPr>
        <w:t xml:space="preserve">the primary feature differentiating them is a notion of wildness vs. domestication: </w:t>
      </w:r>
      <w:r w:rsidRPr="009D59B1">
        <w:rPr>
          <w:sz w:val="20"/>
          <w:szCs w:val="20"/>
        </w:rPr>
        <w:t xml:space="preserve">one is usually planted and one grows wild, wherever a seed has spread. As new words were learned, students continued to review old words and make new connections. For example, in the semantic features activities, review words such as </w:t>
      </w:r>
      <w:r w:rsidRPr="008014A0">
        <w:rPr>
          <w:i/>
          <w:sz w:val="20"/>
          <w:szCs w:val="20"/>
        </w:rPr>
        <w:t>soil</w:t>
      </w:r>
      <w:r w:rsidRPr="009D59B1">
        <w:rPr>
          <w:sz w:val="20"/>
          <w:szCs w:val="20"/>
        </w:rPr>
        <w:t xml:space="preserve"> were used to describe the properties of new words </w:t>
      </w:r>
      <w:r w:rsidRPr="008014A0">
        <w:rPr>
          <w:i/>
          <w:sz w:val="20"/>
          <w:szCs w:val="20"/>
        </w:rPr>
        <w:t>bushes</w:t>
      </w:r>
      <w:r w:rsidRPr="009D59B1">
        <w:rPr>
          <w:sz w:val="20"/>
          <w:szCs w:val="20"/>
        </w:rPr>
        <w:t xml:space="preserve"> and </w:t>
      </w:r>
      <w:r w:rsidR="008014A0">
        <w:rPr>
          <w:i/>
          <w:sz w:val="20"/>
          <w:szCs w:val="20"/>
        </w:rPr>
        <w:t>weeds</w:t>
      </w:r>
      <w:r w:rsidRPr="008014A0">
        <w:rPr>
          <w:i/>
          <w:sz w:val="20"/>
          <w:szCs w:val="20"/>
        </w:rPr>
        <w:t>.</w:t>
      </w:r>
    </w:p>
    <w:p w:rsidR="00D6658F" w:rsidRPr="00D6658F" w:rsidRDefault="00D6658F" w:rsidP="008014A0">
      <w:pPr>
        <w:jc w:val="both"/>
        <w:rPr>
          <w:sz w:val="20"/>
          <w:szCs w:val="20"/>
        </w:rPr>
      </w:pPr>
    </w:p>
    <w:p w:rsidR="001210F2" w:rsidRDefault="00FC3FB6" w:rsidP="008014A0">
      <w:pPr>
        <w:jc w:val="both"/>
        <w:rPr>
          <w:i/>
          <w:sz w:val="20"/>
          <w:szCs w:val="20"/>
        </w:rPr>
      </w:pPr>
      <w:proofErr w:type="spellStart"/>
      <w:r w:rsidRPr="009D59B1">
        <w:rPr>
          <w:i/>
          <w:sz w:val="20"/>
          <w:szCs w:val="20"/>
        </w:rPr>
        <w:t>Vocab</w:t>
      </w:r>
      <w:proofErr w:type="spellEnd"/>
      <w:r w:rsidRPr="009D59B1">
        <w:rPr>
          <w:i/>
          <w:sz w:val="20"/>
          <w:szCs w:val="20"/>
        </w:rPr>
        <w:t>+ morphological awareness condition (</w:t>
      </w:r>
      <w:proofErr w:type="spellStart"/>
      <w:r w:rsidRPr="009D59B1">
        <w:rPr>
          <w:i/>
          <w:sz w:val="20"/>
          <w:szCs w:val="20"/>
        </w:rPr>
        <w:t>Vocab</w:t>
      </w:r>
      <w:proofErr w:type="spellEnd"/>
      <w:r w:rsidRPr="009D59B1">
        <w:rPr>
          <w:i/>
          <w:sz w:val="20"/>
          <w:szCs w:val="20"/>
        </w:rPr>
        <w:t>+-MA).</w:t>
      </w:r>
    </w:p>
    <w:p w:rsidR="00FC3FB6" w:rsidRPr="009D59B1" w:rsidRDefault="00FC3FB6" w:rsidP="008014A0">
      <w:pPr>
        <w:jc w:val="both"/>
        <w:rPr>
          <w:sz w:val="20"/>
          <w:szCs w:val="20"/>
        </w:rPr>
      </w:pPr>
      <w:r w:rsidRPr="009D59B1">
        <w:rPr>
          <w:sz w:val="20"/>
          <w:szCs w:val="20"/>
        </w:rPr>
        <w:t>The morphological condition also explicitly taught students to identify meaning, but it focused</w:t>
      </w:r>
      <w:r w:rsidR="004E5093" w:rsidRPr="009D59B1">
        <w:rPr>
          <w:sz w:val="20"/>
          <w:szCs w:val="20"/>
        </w:rPr>
        <w:t xml:space="preserve"> on meaning in the morphemes, that signal meaning through orthographic and phonological representations</w:t>
      </w:r>
      <w:r w:rsidRPr="009D59B1">
        <w:rPr>
          <w:sz w:val="20"/>
          <w:szCs w:val="20"/>
        </w:rPr>
        <w:t xml:space="preserve">. It also addressed the word formation rules that allow those parts to make words. The MA condition addressed both derivational and inflectional forms. For example, students examined several forms of the root word </w:t>
      </w:r>
      <w:r w:rsidR="008014A0">
        <w:rPr>
          <w:i/>
          <w:sz w:val="20"/>
          <w:szCs w:val="20"/>
        </w:rPr>
        <w:t>plant</w:t>
      </w:r>
      <w:r w:rsidRPr="008014A0">
        <w:rPr>
          <w:i/>
          <w:sz w:val="20"/>
          <w:szCs w:val="20"/>
        </w:rPr>
        <w:t>:</w:t>
      </w:r>
      <w:r w:rsidRPr="009D59B1">
        <w:rPr>
          <w:sz w:val="20"/>
          <w:szCs w:val="20"/>
        </w:rPr>
        <w:t xml:space="preserve"> </w:t>
      </w:r>
      <w:r w:rsidR="008014A0">
        <w:rPr>
          <w:i/>
          <w:sz w:val="20"/>
          <w:szCs w:val="20"/>
        </w:rPr>
        <w:t xml:space="preserve">plants, planter, planted, </w:t>
      </w:r>
      <w:r w:rsidRPr="008014A0">
        <w:rPr>
          <w:i/>
          <w:sz w:val="20"/>
          <w:szCs w:val="20"/>
        </w:rPr>
        <w:t>planting</w:t>
      </w:r>
      <w:r w:rsidRPr="009D59B1">
        <w:rPr>
          <w:sz w:val="20"/>
          <w:szCs w:val="20"/>
        </w:rPr>
        <w:t xml:space="preserve">. Activities like manipulation of suffixes to reflect pictures, and identifying suffixes and roots, illustrate the use of morphological awareness. </w:t>
      </w:r>
    </w:p>
    <w:p w:rsidR="008014A0" w:rsidRDefault="008014A0" w:rsidP="008014A0">
      <w:pPr>
        <w:jc w:val="both"/>
        <w:rPr>
          <w:sz w:val="20"/>
          <w:szCs w:val="20"/>
        </w:rPr>
      </w:pPr>
    </w:p>
    <w:p w:rsidR="00FC3FB6" w:rsidRPr="009D59B1" w:rsidRDefault="00FC3FB6" w:rsidP="008014A0">
      <w:pPr>
        <w:jc w:val="both"/>
        <w:rPr>
          <w:sz w:val="20"/>
          <w:szCs w:val="20"/>
        </w:rPr>
      </w:pPr>
      <w:r w:rsidRPr="009D59B1">
        <w:rPr>
          <w:sz w:val="20"/>
          <w:szCs w:val="20"/>
        </w:rPr>
        <w:t xml:space="preserve">The MA instruction, like SR, followed a developmental sequence (see </w:t>
      </w:r>
      <w:proofErr w:type="spellStart"/>
      <w:r w:rsidRPr="009D59B1">
        <w:rPr>
          <w:sz w:val="20"/>
          <w:szCs w:val="20"/>
        </w:rPr>
        <w:t>Kuo</w:t>
      </w:r>
      <w:proofErr w:type="spellEnd"/>
      <w:r w:rsidRPr="009D59B1">
        <w:rPr>
          <w:sz w:val="20"/>
          <w:szCs w:val="20"/>
        </w:rPr>
        <w:t xml:space="preserve"> &amp; Anderson, 2006). Students first learned to identify root words, and understand that words can be made up of multiple parts. Then, they were taught about inflectional (that indicate grammatical class) and derivational (that derive new words) suffixes. Finally, they practiced putting together roots and suffixes and identifying real words. All activities were designed to be engaging, such as the cubes game. In this activity, the instructor held two </w:t>
      </w:r>
      <w:r w:rsidRPr="009D59B1">
        <w:rPr>
          <w:sz w:val="20"/>
          <w:szCs w:val="20"/>
        </w:rPr>
        <w:lastRenderedPageBreak/>
        <w:t>brightly colored cubes (approximately five inches), one with root words on each face, and the other with suffixes on each face. She would toss one cube to one student, the other to another student, and they would put them together to form a word. Depending on the lesson’s goal, the instructor might lead a discussion on the meaning of the word, demonstrate how changing the suffix altered the meaning, demonstrate how the same suffix changed the meaning of different root words in a similar manner, have the students break the word apart, or a combination of these approaches.</w:t>
      </w:r>
    </w:p>
    <w:p w:rsidR="008014A0" w:rsidRDefault="008014A0" w:rsidP="009D59B1">
      <w:pPr>
        <w:jc w:val="both"/>
        <w:rPr>
          <w:b/>
          <w:sz w:val="20"/>
          <w:szCs w:val="20"/>
        </w:rPr>
      </w:pPr>
    </w:p>
    <w:p w:rsidR="00FC3FB6" w:rsidRPr="008014A0" w:rsidRDefault="00FC3FB6" w:rsidP="009D59B1">
      <w:pPr>
        <w:jc w:val="both"/>
        <w:rPr>
          <w:b/>
          <w:sz w:val="20"/>
          <w:szCs w:val="20"/>
        </w:rPr>
      </w:pPr>
      <w:r w:rsidRPr="008014A0">
        <w:rPr>
          <w:b/>
          <w:sz w:val="20"/>
          <w:szCs w:val="20"/>
        </w:rPr>
        <w:t>Results</w:t>
      </w:r>
    </w:p>
    <w:p w:rsidR="00FC3FB6" w:rsidRPr="009D59B1" w:rsidRDefault="00FC3FB6" w:rsidP="008014A0">
      <w:pPr>
        <w:jc w:val="both"/>
        <w:rPr>
          <w:sz w:val="20"/>
          <w:szCs w:val="20"/>
        </w:rPr>
      </w:pPr>
      <w:r w:rsidRPr="009D59B1">
        <w:rPr>
          <w:sz w:val="20"/>
          <w:szCs w:val="20"/>
        </w:rPr>
        <w:t xml:space="preserve">The primary goal of this exploratory study was to investigate the effectiveness of an intervention that added </w:t>
      </w:r>
      <w:r w:rsidR="004E5093" w:rsidRPr="009D59B1">
        <w:rPr>
          <w:sz w:val="20"/>
          <w:szCs w:val="20"/>
        </w:rPr>
        <w:t xml:space="preserve">PA and decoding to </w:t>
      </w:r>
      <w:r w:rsidRPr="009D59B1">
        <w:rPr>
          <w:sz w:val="20"/>
          <w:szCs w:val="20"/>
        </w:rPr>
        <w:t xml:space="preserve">explicit vocabulary </w:t>
      </w:r>
      <w:r w:rsidR="004E5093" w:rsidRPr="009D59B1">
        <w:rPr>
          <w:sz w:val="20"/>
          <w:szCs w:val="20"/>
        </w:rPr>
        <w:t>instruction</w:t>
      </w:r>
      <w:r w:rsidRPr="009D59B1">
        <w:rPr>
          <w:sz w:val="20"/>
          <w:szCs w:val="20"/>
        </w:rPr>
        <w:t xml:space="preserve"> without increasing instructional time. To test for main effects of instructional condition, and to examine results for higher risk students, analyses of variance (ANOVAs) were performed. No between-group differences were statistically significant, and standard deviations were large. Because this study was exploratory we continued by examining effect sizes between and within groups to direct future research.</w:t>
      </w:r>
    </w:p>
    <w:p w:rsidR="008014A0" w:rsidRDefault="008014A0" w:rsidP="008014A0">
      <w:pPr>
        <w:jc w:val="both"/>
        <w:rPr>
          <w:sz w:val="20"/>
          <w:szCs w:val="20"/>
        </w:rPr>
      </w:pPr>
    </w:p>
    <w:p w:rsidR="00FC3FB6" w:rsidRPr="009D59B1" w:rsidRDefault="00FC3FB6" w:rsidP="008014A0">
      <w:pPr>
        <w:jc w:val="both"/>
        <w:rPr>
          <w:sz w:val="20"/>
          <w:szCs w:val="20"/>
        </w:rPr>
      </w:pPr>
      <w:r w:rsidRPr="009D59B1">
        <w:rPr>
          <w:sz w:val="20"/>
          <w:szCs w:val="20"/>
        </w:rPr>
        <w:t xml:space="preserve">Effect sizes were estimated by dividing standardized mean differences with pooled standard deviations (Cohen’s </w:t>
      </w:r>
      <w:r w:rsidRPr="009D59B1">
        <w:rPr>
          <w:i/>
          <w:sz w:val="20"/>
          <w:szCs w:val="20"/>
        </w:rPr>
        <w:t>d</w:t>
      </w:r>
      <w:r w:rsidRPr="009D59B1">
        <w:rPr>
          <w:sz w:val="20"/>
          <w:szCs w:val="20"/>
        </w:rPr>
        <w:t xml:space="preserve">). Between group effect sizes were calculated to compare the magnitude of difference between groups. Repeated measures effect sizes were calculated to examine the magnitude of growth from pretest to posttest. When the effect size was repeated measures (i.e., pretest-posttest differences rather than posttest differences between groups) the coefficient </w:t>
      </w:r>
      <w:r w:rsidRPr="009D59B1">
        <w:rPr>
          <w:i/>
          <w:sz w:val="20"/>
          <w:szCs w:val="20"/>
        </w:rPr>
        <w:t>d</w:t>
      </w:r>
      <w:r w:rsidRPr="009D59B1">
        <w:rPr>
          <w:sz w:val="20"/>
          <w:szCs w:val="20"/>
        </w:rPr>
        <w:t xml:space="preserve"> was multiplied by .632 to take into account the pretest-posttest correlation (Rosenthal, 1994). According to Cohen’s (1988) very general guidelines an effect size of (.2) is small, (.5) is medium, and (.8) is large. In this study, a minimum effect size considered substantively important is greater than or equal to (</w:t>
      </w:r>
      <w:r w:rsidRPr="009D59B1">
        <w:rPr>
          <w:i/>
          <w:sz w:val="20"/>
          <w:szCs w:val="20"/>
        </w:rPr>
        <w:t>d</w:t>
      </w:r>
      <w:r w:rsidRPr="009D59B1">
        <w:rPr>
          <w:sz w:val="20"/>
          <w:szCs w:val="20"/>
        </w:rPr>
        <w:t xml:space="preserve"> = .25), which corresponds to a ten percentile point difference between the percentile rank of the average student in one group (50</w:t>
      </w:r>
      <w:r w:rsidRPr="009D59B1">
        <w:rPr>
          <w:sz w:val="20"/>
          <w:szCs w:val="20"/>
          <w:vertAlign w:val="superscript"/>
        </w:rPr>
        <w:t>th</w:t>
      </w:r>
      <w:r w:rsidRPr="009D59B1">
        <w:rPr>
          <w:sz w:val="20"/>
          <w:szCs w:val="20"/>
        </w:rPr>
        <w:t xml:space="preserve"> percentile) and the percentile rank of that average student in another group (</w:t>
      </w:r>
      <w:r w:rsidRPr="008014A0">
        <w:rPr>
          <w:i/>
          <w:sz w:val="20"/>
          <w:szCs w:val="20"/>
        </w:rPr>
        <w:t>What Works Clearingh</w:t>
      </w:r>
      <w:r w:rsidR="008014A0">
        <w:rPr>
          <w:i/>
          <w:sz w:val="20"/>
          <w:szCs w:val="20"/>
        </w:rPr>
        <w:t>ouse Intervention Rating Scheme</w:t>
      </w:r>
      <w:r w:rsidRPr="008014A0">
        <w:rPr>
          <w:sz w:val="20"/>
          <w:szCs w:val="20"/>
        </w:rPr>
        <w:t>).</w:t>
      </w:r>
      <w:r w:rsidRPr="008014A0">
        <w:rPr>
          <w:i/>
          <w:sz w:val="20"/>
          <w:szCs w:val="20"/>
        </w:rPr>
        <w:t xml:space="preserve"> </w:t>
      </w:r>
    </w:p>
    <w:p w:rsidR="008014A0" w:rsidRDefault="008014A0" w:rsidP="009D59B1">
      <w:pPr>
        <w:jc w:val="both"/>
        <w:rPr>
          <w:i/>
          <w:sz w:val="20"/>
          <w:szCs w:val="20"/>
        </w:rPr>
      </w:pPr>
    </w:p>
    <w:p w:rsidR="00FC3FB6" w:rsidRPr="009D59B1" w:rsidRDefault="00FC3FB6" w:rsidP="009D59B1">
      <w:pPr>
        <w:jc w:val="both"/>
        <w:rPr>
          <w:i/>
          <w:sz w:val="20"/>
          <w:szCs w:val="20"/>
        </w:rPr>
      </w:pPr>
      <w:r w:rsidRPr="009D59B1">
        <w:rPr>
          <w:i/>
          <w:sz w:val="20"/>
          <w:szCs w:val="20"/>
        </w:rPr>
        <w:t xml:space="preserve">Instructional Condition Effects </w:t>
      </w:r>
    </w:p>
    <w:p w:rsidR="00FC3FB6" w:rsidRPr="009D59B1" w:rsidRDefault="00FC3FB6" w:rsidP="008014A0">
      <w:pPr>
        <w:jc w:val="both"/>
        <w:rPr>
          <w:sz w:val="20"/>
          <w:szCs w:val="20"/>
        </w:rPr>
      </w:pPr>
      <w:proofErr w:type="gramStart"/>
      <w:r w:rsidRPr="009D59B1">
        <w:rPr>
          <w:i/>
          <w:sz w:val="20"/>
          <w:szCs w:val="20"/>
        </w:rPr>
        <w:t>Vocabulary.</w:t>
      </w:r>
      <w:proofErr w:type="gramEnd"/>
      <w:r w:rsidRPr="009D59B1">
        <w:rPr>
          <w:i/>
          <w:sz w:val="20"/>
          <w:szCs w:val="20"/>
        </w:rPr>
        <w:t xml:space="preserve"> </w:t>
      </w:r>
      <w:r w:rsidRPr="009D59B1">
        <w:rPr>
          <w:sz w:val="20"/>
          <w:szCs w:val="20"/>
        </w:rPr>
        <w:t>The correlation between pretest and posttest on VOC was (</w:t>
      </w:r>
      <w:r w:rsidRPr="009D59B1">
        <w:rPr>
          <w:i/>
          <w:sz w:val="20"/>
          <w:szCs w:val="20"/>
        </w:rPr>
        <w:t>r</w:t>
      </w:r>
      <w:r w:rsidRPr="009D59B1">
        <w:rPr>
          <w:sz w:val="20"/>
          <w:szCs w:val="20"/>
        </w:rPr>
        <w:t xml:space="preserve"> = .68). To account for group differences at pretest and maximize power, an ANCOVA was performed with posttest vocabulary knowledge (VOC) as the outcome variable, pretest VOC as covariate, and instructional condition as the fixed factor. Mean differences between groups at posttest were large but not statistically reliable, </w:t>
      </w:r>
      <w:proofErr w:type="gramStart"/>
      <w:r w:rsidRPr="009D59B1">
        <w:rPr>
          <w:i/>
          <w:sz w:val="20"/>
          <w:szCs w:val="20"/>
        </w:rPr>
        <w:t>F</w:t>
      </w:r>
      <w:r w:rsidRPr="009D59B1">
        <w:rPr>
          <w:sz w:val="20"/>
          <w:szCs w:val="20"/>
        </w:rPr>
        <w:t>(</w:t>
      </w:r>
      <w:proofErr w:type="gramEnd"/>
      <w:r w:rsidRPr="009D59B1">
        <w:rPr>
          <w:sz w:val="20"/>
          <w:szCs w:val="20"/>
        </w:rPr>
        <w:t>2, 67) = 2.263, (</w:t>
      </w:r>
      <w:r w:rsidRPr="009D59B1">
        <w:rPr>
          <w:i/>
          <w:sz w:val="20"/>
          <w:szCs w:val="20"/>
        </w:rPr>
        <w:t>p</w:t>
      </w:r>
      <w:r w:rsidRPr="009D59B1">
        <w:rPr>
          <w:sz w:val="20"/>
          <w:szCs w:val="20"/>
        </w:rPr>
        <w:t xml:space="preserve"> = .112).</w:t>
      </w:r>
      <w:r w:rsidRPr="009D59B1" w:rsidDel="009C2D4A">
        <w:rPr>
          <w:sz w:val="20"/>
          <w:szCs w:val="20"/>
        </w:rPr>
        <w:t xml:space="preserve"> </w:t>
      </w:r>
      <w:r w:rsidRPr="009D59B1">
        <w:rPr>
          <w:sz w:val="20"/>
          <w:szCs w:val="20"/>
        </w:rPr>
        <w:t>Although pretest mean differences were not statistically significant, they were sufficiently large to warrant protecting against their influence. Descriptive sta</w:t>
      </w:r>
      <w:r w:rsidR="00BD581D" w:rsidRPr="009D59B1">
        <w:rPr>
          <w:sz w:val="20"/>
          <w:szCs w:val="20"/>
        </w:rPr>
        <w:t>tistics are presented in Table 4</w:t>
      </w:r>
      <w:r w:rsidRPr="009D59B1">
        <w:rPr>
          <w:sz w:val="20"/>
          <w:szCs w:val="20"/>
        </w:rPr>
        <w:t>.</w:t>
      </w:r>
    </w:p>
    <w:p w:rsidR="008014A0" w:rsidRDefault="008014A0" w:rsidP="008014A0">
      <w:pPr>
        <w:jc w:val="both"/>
        <w:rPr>
          <w:sz w:val="20"/>
          <w:szCs w:val="20"/>
        </w:rPr>
      </w:pPr>
    </w:p>
    <w:p w:rsidR="00B860C9" w:rsidRDefault="00FC3FB6" w:rsidP="008014A0">
      <w:pPr>
        <w:jc w:val="both"/>
        <w:rPr>
          <w:sz w:val="20"/>
          <w:szCs w:val="20"/>
        </w:rPr>
      </w:pPr>
      <w:r w:rsidRPr="009D59B1">
        <w:rPr>
          <w:sz w:val="20"/>
          <w:szCs w:val="20"/>
        </w:rPr>
        <w:t>Standardized mean differences between groups at posttest indicate that the average student in the MA group performed at the 74</w:t>
      </w:r>
      <w:r w:rsidRPr="009D59B1">
        <w:rPr>
          <w:sz w:val="20"/>
          <w:szCs w:val="20"/>
          <w:vertAlign w:val="superscript"/>
        </w:rPr>
        <w:t>th</w:t>
      </w:r>
      <w:r w:rsidRPr="009D59B1">
        <w:rPr>
          <w:sz w:val="20"/>
          <w:szCs w:val="20"/>
        </w:rPr>
        <w:t xml:space="preserve"> percentile of the PAD group (</w:t>
      </w:r>
      <w:r w:rsidRPr="009D59B1">
        <w:rPr>
          <w:i/>
          <w:sz w:val="20"/>
          <w:szCs w:val="20"/>
        </w:rPr>
        <w:t>d</w:t>
      </w:r>
      <w:r w:rsidRPr="009D59B1">
        <w:rPr>
          <w:sz w:val="20"/>
          <w:szCs w:val="20"/>
        </w:rPr>
        <w:t xml:space="preserve"> = .64), and the average student in the SR group performed at the 70</w:t>
      </w:r>
      <w:r w:rsidRPr="009D59B1">
        <w:rPr>
          <w:sz w:val="20"/>
          <w:szCs w:val="20"/>
          <w:vertAlign w:val="superscript"/>
        </w:rPr>
        <w:t>th</w:t>
      </w:r>
      <w:r w:rsidRPr="009D59B1">
        <w:rPr>
          <w:sz w:val="20"/>
          <w:szCs w:val="20"/>
        </w:rPr>
        <w:t xml:space="preserve"> percentile of the PAD group (</w:t>
      </w:r>
      <w:r w:rsidRPr="009D59B1">
        <w:rPr>
          <w:i/>
          <w:sz w:val="20"/>
          <w:szCs w:val="20"/>
        </w:rPr>
        <w:t>d</w:t>
      </w:r>
      <w:r w:rsidRPr="009D59B1">
        <w:rPr>
          <w:sz w:val="20"/>
          <w:szCs w:val="20"/>
        </w:rPr>
        <w:t xml:space="preserve"> = .54). Effects on target word vocabulary knowledge were much larger for both vocabulary-added groups than for the PAD group. Within group effect sizes from pretest to posttest were largest for MA (</w:t>
      </w:r>
      <w:r w:rsidRPr="009D59B1">
        <w:rPr>
          <w:i/>
          <w:sz w:val="20"/>
          <w:szCs w:val="20"/>
        </w:rPr>
        <w:t>d</w:t>
      </w:r>
      <w:r w:rsidRPr="009D59B1">
        <w:rPr>
          <w:sz w:val="20"/>
          <w:szCs w:val="20"/>
        </w:rPr>
        <w:t xml:space="preserve"> = .56), then SR (</w:t>
      </w:r>
      <w:r w:rsidRPr="009D59B1">
        <w:rPr>
          <w:i/>
          <w:sz w:val="20"/>
          <w:szCs w:val="20"/>
        </w:rPr>
        <w:t>d</w:t>
      </w:r>
      <w:r w:rsidRPr="009D59B1">
        <w:rPr>
          <w:sz w:val="20"/>
          <w:szCs w:val="20"/>
        </w:rPr>
        <w:t xml:space="preserve"> = .28), and negligible for PAD (</w:t>
      </w:r>
      <w:r w:rsidRPr="009D59B1">
        <w:rPr>
          <w:i/>
          <w:sz w:val="20"/>
          <w:szCs w:val="20"/>
        </w:rPr>
        <w:t>d</w:t>
      </w:r>
      <w:r w:rsidRPr="009D59B1">
        <w:rPr>
          <w:sz w:val="20"/>
          <w:szCs w:val="20"/>
        </w:rPr>
        <w:t xml:space="preserve"> = .04). </w:t>
      </w:r>
    </w:p>
    <w:p w:rsidR="00F538CD" w:rsidRDefault="00F538CD" w:rsidP="008014A0">
      <w:pPr>
        <w:jc w:val="both"/>
        <w:rPr>
          <w:sz w:val="20"/>
          <w:szCs w:val="20"/>
        </w:rPr>
      </w:pPr>
    </w:p>
    <w:p w:rsidR="00F538CD" w:rsidRPr="009D59B1" w:rsidRDefault="00F538CD" w:rsidP="00F538CD">
      <w:pPr>
        <w:jc w:val="both"/>
        <w:rPr>
          <w:sz w:val="20"/>
          <w:szCs w:val="20"/>
        </w:rPr>
      </w:pPr>
      <w:proofErr w:type="gramStart"/>
      <w:r w:rsidRPr="009D59B1">
        <w:rPr>
          <w:i/>
          <w:sz w:val="20"/>
          <w:szCs w:val="20"/>
        </w:rPr>
        <w:t>Phonological decoding.</w:t>
      </w:r>
      <w:proofErr w:type="gramEnd"/>
      <w:r w:rsidRPr="009D59B1">
        <w:rPr>
          <w:sz w:val="20"/>
          <w:szCs w:val="20"/>
        </w:rPr>
        <w:t xml:space="preserve"> The correlation between pretest and posttest NWF was </w:t>
      </w:r>
      <w:r w:rsidRPr="009D59B1">
        <w:rPr>
          <w:i/>
          <w:sz w:val="20"/>
          <w:szCs w:val="20"/>
        </w:rPr>
        <w:t>r</w:t>
      </w:r>
      <w:r w:rsidRPr="009D59B1">
        <w:rPr>
          <w:sz w:val="20"/>
          <w:szCs w:val="20"/>
        </w:rPr>
        <w:t xml:space="preserve"> = .55 (</w:t>
      </w:r>
      <w:r w:rsidRPr="009D59B1">
        <w:rPr>
          <w:i/>
          <w:sz w:val="20"/>
          <w:szCs w:val="20"/>
        </w:rPr>
        <w:t>N</w:t>
      </w:r>
      <w:r w:rsidRPr="009D59B1">
        <w:rPr>
          <w:sz w:val="20"/>
          <w:szCs w:val="20"/>
        </w:rPr>
        <w:t xml:space="preserve"> = 71). An ANOVA (instructional condition by NWF gain score) was conducted to examine between group differences. Gain scores were used for this analysis because there were no missing data at pretest or posttest. The results of the ANOVA did not show the anticipated main effect, </w:t>
      </w:r>
      <w:proofErr w:type="gramStart"/>
      <w:r w:rsidRPr="009D59B1">
        <w:rPr>
          <w:i/>
          <w:sz w:val="20"/>
          <w:szCs w:val="20"/>
        </w:rPr>
        <w:t>F</w:t>
      </w:r>
      <w:r w:rsidRPr="009D59B1">
        <w:rPr>
          <w:sz w:val="20"/>
          <w:szCs w:val="20"/>
        </w:rPr>
        <w:t>(</w:t>
      </w:r>
      <w:proofErr w:type="gramEnd"/>
      <w:r w:rsidRPr="009D59B1">
        <w:rPr>
          <w:sz w:val="20"/>
          <w:szCs w:val="20"/>
        </w:rPr>
        <w:t xml:space="preserve">2, 68) = 1.02, </w:t>
      </w:r>
      <w:r w:rsidRPr="009D59B1">
        <w:rPr>
          <w:i/>
          <w:sz w:val="20"/>
          <w:szCs w:val="20"/>
        </w:rPr>
        <w:t>p</w:t>
      </w:r>
      <w:r w:rsidRPr="009D59B1">
        <w:rPr>
          <w:sz w:val="20"/>
          <w:szCs w:val="20"/>
        </w:rPr>
        <w:t xml:space="preserve"> = .367. For the PAD group, one Nonsense Word Fluency score was dropped due to administration error</w:t>
      </w:r>
    </w:p>
    <w:p w:rsidR="00F538CD" w:rsidRDefault="00F538CD" w:rsidP="00F538CD">
      <w:pPr>
        <w:jc w:val="both"/>
        <w:rPr>
          <w:sz w:val="20"/>
          <w:szCs w:val="20"/>
        </w:rPr>
      </w:pPr>
    </w:p>
    <w:p w:rsidR="008014A0" w:rsidRDefault="00F538CD" w:rsidP="009D59B1">
      <w:pPr>
        <w:jc w:val="both"/>
        <w:rPr>
          <w:sz w:val="20"/>
          <w:szCs w:val="20"/>
        </w:rPr>
      </w:pPr>
      <w:r w:rsidRPr="009D59B1">
        <w:rPr>
          <w:sz w:val="20"/>
          <w:szCs w:val="20"/>
        </w:rPr>
        <w:t>Effect sizes comparing posttest means between groups indicate that the average student in the SR group performed at the 64</w:t>
      </w:r>
      <w:r w:rsidRPr="009D59B1">
        <w:rPr>
          <w:sz w:val="20"/>
          <w:szCs w:val="20"/>
          <w:vertAlign w:val="superscript"/>
        </w:rPr>
        <w:t>th</w:t>
      </w:r>
      <w:r w:rsidRPr="009D59B1">
        <w:rPr>
          <w:sz w:val="20"/>
          <w:szCs w:val="20"/>
        </w:rPr>
        <w:t xml:space="preserve"> percentile of the PAD group (</w:t>
      </w:r>
      <w:r w:rsidRPr="009D59B1">
        <w:rPr>
          <w:i/>
          <w:sz w:val="20"/>
          <w:szCs w:val="20"/>
        </w:rPr>
        <w:t>d</w:t>
      </w:r>
      <w:r w:rsidRPr="009D59B1">
        <w:rPr>
          <w:sz w:val="20"/>
          <w:szCs w:val="20"/>
        </w:rPr>
        <w:t xml:space="preserve"> = .37) and the average student in the MA group performed at the 66</w:t>
      </w:r>
      <w:r w:rsidRPr="009D59B1">
        <w:rPr>
          <w:sz w:val="20"/>
          <w:szCs w:val="20"/>
          <w:vertAlign w:val="superscript"/>
        </w:rPr>
        <w:t>th</w:t>
      </w:r>
      <w:r w:rsidRPr="009D59B1">
        <w:rPr>
          <w:sz w:val="20"/>
          <w:szCs w:val="20"/>
        </w:rPr>
        <w:t xml:space="preserve"> percentile of the PAD group (</w:t>
      </w:r>
      <w:r w:rsidRPr="009D59B1">
        <w:rPr>
          <w:i/>
          <w:sz w:val="20"/>
          <w:szCs w:val="20"/>
        </w:rPr>
        <w:t>d</w:t>
      </w:r>
      <w:r w:rsidRPr="009D59B1">
        <w:rPr>
          <w:sz w:val="20"/>
          <w:szCs w:val="20"/>
        </w:rPr>
        <w:t xml:space="preserve"> = .44). The within group effect sizes from pretest to posttest were largest for SR (</w:t>
      </w:r>
      <w:r w:rsidRPr="009D59B1">
        <w:rPr>
          <w:i/>
          <w:sz w:val="20"/>
          <w:szCs w:val="20"/>
        </w:rPr>
        <w:t>d</w:t>
      </w:r>
      <w:r w:rsidRPr="009D59B1">
        <w:rPr>
          <w:sz w:val="20"/>
          <w:szCs w:val="20"/>
        </w:rPr>
        <w:t xml:space="preserve"> = .49), followed by MA (</w:t>
      </w:r>
      <w:r w:rsidRPr="009D59B1">
        <w:rPr>
          <w:i/>
          <w:sz w:val="20"/>
          <w:szCs w:val="20"/>
        </w:rPr>
        <w:t>d</w:t>
      </w:r>
      <w:r w:rsidRPr="009D59B1">
        <w:rPr>
          <w:sz w:val="20"/>
          <w:szCs w:val="20"/>
        </w:rPr>
        <w:t xml:space="preserve"> = .33) and negligible for PAD (</w:t>
      </w:r>
      <w:r w:rsidRPr="009D59B1">
        <w:rPr>
          <w:i/>
          <w:sz w:val="20"/>
          <w:szCs w:val="20"/>
        </w:rPr>
        <w:t>d</w:t>
      </w:r>
      <w:r w:rsidRPr="009D59B1">
        <w:rPr>
          <w:sz w:val="20"/>
          <w:szCs w:val="20"/>
        </w:rPr>
        <w:t xml:space="preserve"> = .17). </w:t>
      </w:r>
    </w:p>
    <w:p w:rsidR="00F538CD" w:rsidRDefault="00F538CD" w:rsidP="009D59B1">
      <w:pPr>
        <w:jc w:val="both"/>
        <w:rPr>
          <w:sz w:val="20"/>
          <w:szCs w:val="20"/>
        </w:rPr>
      </w:pPr>
    </w:p>
    <w:p w:rsidR="00D6658F" w:rsidRPr="009D59B1" w:rsidRDefault="00D6658F" w:rsidP="00D6658F">
      <w:pPr>
        <w:jc w:val="both"/>
        <w:rPr>
          <w:i/>
          <w:sz w:val="20"/>
          <w:szCs w:val="20"/>
        </w:rPr>
      </w:pPr>
      <w:r w:rsidRPr="009D59B1">
        <w:rPr>
          <w:i/>
          <w:sz w:val="20"/>
          <w:szCs w:val="20"/>
        </w:rPr>
        <w:t xml:space="preserve">Performance of Higher Risk Students </w:t>
      </w:r>
    </w:p>
    <w:p w:rsidR="00D6658F" w:rsidRDefault="00D6658F" w:rsidP="009D59B1">
      <w:pPr>
        <w:jc w:val="both"/>
        <w:rPr>
          <w:sz w:val="20"/>
          <w:szCs w:val="20"/>
        </w:rPr>
      </w:pPr>
      <w:proofErr w:type="gramStart"/>
      <w:r w:rsidRPr="009D59B1">
        <w:rPr>
          <w:sz w:val="20"/>
          <w:szCs w:val="20"/>
        </w:rPr>
        <w:t>Students</w:t>
      </w:r>
      <w:proofErr w:type="gramEnd"/>
      <w:r w:rsidRPr="009D59B1">
        <w:rPr>
          <w:sz w:val="20"/>
          <w:szCs w:val="20"/>
        </w:rPr>
        <w:t xml:space="preserve"> who were initially lowest-performing on </w:t>
      </w:r>
      <w:proofErr w:type="spellStart"/>
      <w:r w:rsidRPr="009D59B1">
        <w:rPr>
          <w:sz w:val="20"/>
          <w:szCs w:val="20"/>
        </w:rPr>
        <w:t>NWF</w:t>
      </w:r>
      <w:proofErr w:type="spellEnd"/>
      <w:r w:rsidRPr="009D59B1">
        <w:rPr>
          <w:sz w:val="20"/>
          <w:szCs w:val="20"/>
        </w:rPr>
        <w:t xml:space="preserve">, improved more from pretest to posttest - regardless of instructional condition - than did their peers. The </w:t>
      </w:r>
      <w:proofErr w:type="spellStart"/>
      <w:r w:rsidRPr="009D59B1">
        <w:rPr>
          <w:sz w:val="20"/>
          <w:szCs w:val="20"/>
        </w:rPr>
        <w:t>DIBELS</w:t>
      </w:r>
      <w:proofErr w:type="spellEnd"/>
      <w:r w:rsidRPr="009D59B1">
        <w:rPr>
          <w:sz w:val="20"/>
          <w:szCs w:val="20"/>
        </w:rPr>
        <w:t xml:space="preserve"> benchmarks for performance on this task in mid-first grade are: fewer than 30 sounds per minute = </w:t>
      </w:r>
      <w:r w:rsidRPr="008014A0">
        <w:rPr>
          <w:i/>
          <w:sz w:val="20"/>
          <w:szCs w:val="20"/>
        </w:rPr>
        <w:t>deficit</w:t>
      </w:r>
      <w:r w:rsidRPr="009D59B1">
        <w:rPr>
          <w:sz w:val="20"/>
          <w:szCs w:val="20"/>
        </w:rPr>
        <w:t xml:space="preserve">, 31-50 = </w:t>
      </w:r>
      <w:r w:rsidRPr="008014A0">
        <w:rPr>
          <w:i/>
          <w:sz w:val="20"/>
          <w:szCs w:val="20"/>
        </w:rPr>
        <w:t>emerging</w:t>
      </w:r>
      <w:r w:rsidRPr="009D59B1">
        <w:rPr>
          <w:sz w:val="20"/>
          <w:szCs w:val="20"/>
        </w:rPr>
        <w:t xml:space="preserve"> and greater than 50 = </w:t>
      </w:r>
      <w:r>
        <w:rPr>
          <w:i/>
          <w:sz w:val="20"/>
          <w:szCs w:val="20"/>
        </w:rPr>
        <w:t>established</w:t>
      </w:r>
      <w:r w:rsidRPr="008014A0">
        <w:rPr>
          <w:i/>
          <w:sz w:val="20"/>
          <w:szCs w:val="20"/>
        </w:rPr>
        <w:t>.</w:t>
      </w:r>
      <w:r w:rsidRPr="009D59B1">
        <w:rPr>
          <w:sz w:val="20"/>
          <w:szCs w:val="20"/>
        </w:rPr>
        <w:t xml:space="preserve"> In this sample, the median </w:t>
      </w:r>
      <w:proofErr w:type="spellStart"/>
      <w:r w:rsidRPr="009D59B1">
        <w:rPr>
          <w:sz w:val="20"/>
          <w:szCs w:val="20"/>
        </w:rPr>
        <w:t>NWF</w:t>
      </w:r>
      <w:proofErr w:type="spellEnd"/>
      <w:r w:rsidRPr="009D59B1">
        <w:rPr>
          <w:sz w:val="20"/>
          <w:szCs w:val="20"/>
        </w:rPr>
        <w:t xml:space="preserve"> score at pretest was 35 sounds read correctly in one minute, and 40% of students scored at or below 30 sounds per minute. Therefore, the median was </w:t>
      </w:r>
      <w:r w:rsidRPr="009D59B1">
        <w:rPr>
          <w:sz w:val="20"/>
          <w:szCs w:val="20"/>
        </w:rPr>
        <w:lastRenderedPageBreak/>
        <w:t>identified as the arbitrary cut point for defining higher and lower risk, with the knowledge that a few (</w:t>
      </w:r>
      <w:r w:rsidRPr="009D59B1">
        <w:rPr>
          <w:i/>
          <w:sz w:val="20"/>
          <w:szCs w:val="20"/>
        </w:rPr>
        <w:t>n</w:t>
      </w:r>
      <w:r w:rsidRPr="009D59B1">
        <w:rPr>
          <w:sz w:val="20"/>
          <w:szCs w:val="20"/>
        </w:rPr>
        <w:t xml:space="preserve"> = 7) more students would be classified as higher risk by using this method than by using the </w:t>
      </w:r>
      <w:proofErr w:type="spellStart"/>
      <w:r w:rsidRPr="009D59B1">
        <w:rPr>
          <w:sz w:val="20"/>
          <w:szCs w:val="20"/>
        </w:rPr>
        <w:t>DIBELS</w:t>
      </w:r>
      <w:proofErr w:type="spellEnd"/>
      <w:r w:rsidRPr="009D59B1">
        <w:rPr>
          <w:sz w:val="20"/>
          <w:szCs w:val="20"/>
        </w:rPr>
        <w:t xml:space="preserve"> benchmarks only. </w:t>
      </w:r>
      <w:proofErr w:type="spellStart"/>
      <w:r w:rsidRPr="009D59B1">
        <w:rPr>
          <w:sz w:val="20"/>
          <w:szCs w:val="20"/>
        </w:rPr>
        <w:t>Overselecting</w:t>
      </w:r>
      <w:proofErr w:type="spellEnd"/>
      <w:r w:rsidRPr="009D59B1">
        <w:rPr>
          <w:sz w:val="20"/>
          <w:szCs w:val="20"/>
        </w:rPr>
        <w:t xml:space="preserve"> higher risk students, rather than just using the </w:t>
      </w:r>
      <w:proofErr w:type="spellStart"/>
      <w:r w:rsidRPr="009D59B1">
        <w:rPr>
          <w:sz w:val="20"/>
          <w:szCs w:val="20"/>
        </w:rPr>
        <w:t>DIBELS</w:t>
      </w:r>
      <w:proofErr w:type="spellEnd"/>
      <w:r w:rsidRPr="009D59B1">
        <w:rPr>
          <w:sz w:val="20"/>
          <w:szCs w:val="20"/>
        </w:rPr>
        <w:t xml:space="preserve"> criteria, was done to reduce the possibility of false negatives. The mean was 25 for the higher risk group and 48 for the lower risk group. </w:t>
      </w:r>
    </w:p>
    <w:p w:rsidR="00D6658F" w:rsidRDefault="00D6658F" w:rsidP="009D59B1">
      <w:pPr>
        <w:jc w:val="both"/>
        <w:rPr>
          <w:sz w:val="20"/>
          <w:szCs w:val="20"/>
        </w:rPr>
      </w:pPr>
    </w:p>
    <w:p w:rsidR="00BD581D" w:rsidRPr="00084CAC" w:rsidRDefault="00BD581D" w:rsidP="00084CAC">
      <w:pPr>
        <w:jc w:val="center"/>
        <w:rPr>
          <w:b/>
          <w:sz w:val="20"/>
          <w:szCs w:val="20"/>
        </w:rPr>
      </w:pPr>
      <w:proofErr w:type="gramStart"/>
      <w:r w:rsidRPr="008014A0">
        <w:rPr>
          <w:b/>
          <w:sz w:val="20"/>
          <w:szCs w:val="20"/>
        </w:rPr>
        <w:t>Table 4</w:t>
      </w:r>
      <w:r w:rsidR="008014A0">
        <w:rPr>
          <w:b/>
          <w:sz w:val="20"/>
          <w:szCs w:val="20"/>
        </w:rPr>
        <w:t>.</w:t>
      </w:r>
      <w:proofErr w:type="gramEnd"/>
      <w:r w:rsidR="008014A0" w:rsidRPr="008014A0">
        <w:rPr>
          <w:b/>
          <w:sz w:val="20"/>
          <w:szCs w:val="20"/>
        </w:rPr>
        <w:t xml:space="preserve"> Descriptive data by instructional condition</w:t>
      </w:r>
    </w:p>
    <w:tbl>
      <w:tblPr>
        <w:tblW w:w="7380" w:type="dxa"/>
        <w:jc w:val="center"/>
        <w:tblLayout w:type="fixed"/>
        <w:tblCellMar>
          <w:left w:w="0" w:type="dxa"/>
          <w:right w:w="0" w:type="dxa"/>
        </w:tblCellMar>
        <w:tblLook w:val="0000"/>
      </w:tblPr>
      <w:tblGrid>
        <w:gridCol w:w="1080"/>
        <w:gridCol w:w="1050"/>
        <w:gridCol w:w="1050"/>
        <w:gridCol w:w="1050"/>
        <w:gridCol w:w="1050"/>
        <w:gridCol w:w="1050"/>
        <w:gridCol w:w="1050"/>
      </w:tblGrid>
      <w:tr w:rsidR="00BD581D" w:rsidRPr="009D59B1" w:rsidTr="008014A0">
        <w:trPr>
          <w:trHeight w:val="300"/>
          <w:jc w:val="center"/>
        </w:trPr>
        <w:tc>
          <w:tcPr>
            <w:tcW w:w="1080" w:type="dxa"/>
            <w:tcBorders>
              <w:top w:val="single" w:sz="4" w:space="0" w:color="auto"/>
              <w:left w:val="nil"/>
              <w:bottom w:val="single" w:sz="4" w:space="0" w:color="auto"/>
              <w:right w:val="nil"/>
            </w:tcBorders>
            <w:shd w:val="clear" w:color="auto" w:fill="auto"/>
            <w:vAlign w:val="center"/>
          </w:tcPr>
          <w:p w:rsidR="00BD581D" w:rsidRPr="009D59B1" w:rsidRDefault="00BD581D" w:rsidP="009D59B1">
            <w:pPr>
              <w:jc w:val="both"/>
              <w:rPr>
                <w:sz w:val="20"/>
                <w:szCs w:val="20"/>
              </w:rPr>
            </w:pPr>
          </w:p>
        </w:tc>
        <w:tc>
          <w:tcPr>
            <w:tcW w:w="3150" w:type="dxa"/>
            <w:gridSpan w:val="3"/>
            <w:tcBorders>
              <w:top w:val="single" w:sz="4" w:space="0" w:color="auto"/>
              <w:left w:val="nil"/>
              <w:bottom w:val="single" w:sz="4" w:space="0" w:color="auto"/>
              <w:right w:val="nil"/>
            </w:tcBorders>
            <w:shd w:val="clear" w:color="auto" w:fill="auto"/>
            <w:vAlign w:val="center"/>
          </w:tcPr>
          <w:p w:rsidR="00BD581D" w:rsidRPr="009D59B1" w:rsidRDefault="00BD581D" w:rsidP="009D59B1">
            <w:pPr>
              <w:pBdr>
                <w:bottom w:val="single" w:sz="6" w:space="1" w:color="auto"/>
              </w:pBdr>
              <w:jc w:val="both"/>
              <w:rPr>
                <w:sz w:val="20"/>
                <w:szCs w:val="20"/>
              </w:rPr>
            </w:pPr>
            <w:r w:rsidRPr="009D59B1">
              <w:rPr>
                <w:sz w:val="20"/>
                <w:szCs w:val="20"/>
              </w:rPr>
              <w:t>Pre</w:t>
            </w:r>
          </w:p>
          <w:p w:rsidR="00BD581D" w:rsidRPr="009D59B1" w:rsidRDefault="00BD581D" w:rsidP="009D59B1">
            <w:pPr>
              <w:jc w:val="both"/>
              <w:rPr>
                <w:sz w:val="20"/>
                <w:szCs w:val="20"/>
              </w:rPr>
            </w:pPr>
          </w:p>
        </w:tc>
        <w:tc>
          <w:tcPr>
            <w:tcW w:w="3150" w:type="dxa"/>
            <w:gridSpan w:val="3"/>
            <w:tcBorders>
              <w:top w:val="single" w:sz="4" w:space="0" w:color="auto"/>
              <w:left w:val="nil"/>
              <w:bottom w:val="single" w:sz="4" w:space="0" w:color="auto"/>
              <w:right w:val="nil"/>
            </w:tcBorders>
            <w:shd w:val="clear" w:color="auto" w:fill="auto"/>
            <w:vAlign w:val="center"/>
          </w:tcPr>
          <w:p w:rsidR="00BD581D" w:rsidRPr="009D59B1" w:rsidRDefault="00BD581D" w:rsidP="009D59B1">
            <w:pPr>
              <w:pBdr>
                <w:bottom w:val="single" w:sz="6" w:space="1" w:color="auto"/>
              </w:pBdr>
              <w:jc w:val="both"/>
              <w:rPr>
                <w:sz w:val="20"/>
                <w:szCs w:val="20"/>
              </w:rPr>
            </w:pPr>
            <w:r w:rsidRPr="009D59B1">
              <w:rPr>
                <w:sz w:val="20"/>
                <w:szCs w:val="20"/>
              </w:rPr>
              <w:t>Post</w:t>
            </w:r>
          </w:p>
          <w:p w:rsidR="00BD581D" w:rsidRPr="009D59B1" w:rsidRDefault="00BD581D" w:rsidP="009D59B1">
            <w:pPr>
              <w:jc w:val="both"/>
              <w:rPr>
                <w:sz w:val="20"/>
                <w:szCs w:val="20"/>
              </w:rPr>
            </w:pPr>
          </w:p>
        </w:tc>
      </w:tr>
      <w:tr w:rsidR="00BD581D" w:rsidRPr="009D59B1" w:rsidTr="008014A0">
        <w:trPr>
          <w:trHeight w:val="300"/>
          <w:jc w:val="center"/>
        </w:trPr>
        <w:tc>
          <w:tcPr>
            <w:tcW w:w="1080" w:type="dxa"/>
            <w:tcBorders>
              <w:top w:val="single" w:sz="4" w:space="0" w:color="auto"/>
              <w:left w:val="nil"/>
              <w:bottom w:val="nil"/>
              <w:right w:val="nil"/>
            </w:tcBorders>
            <w:shd w:val="clear" w:color="auto" w:fill="auto"/>
            <w:vAlign w:val="center"/>
          </w:tcPr>
          <w:p w:rsidR="00BD581D" w:rsidRPr="009D59B1" w:rsidRDefault="00BD581D" w:rsidP="009D59B1">
            <w:pPr>
              <w:jc w:val="both"/>
              <w:rPr>
                <w:sz w:val="20"/>
                <w:szCs w:val="20"/>
              </w:rPr>
            </w:pPr>
          </w:p>
        </w:tc>
        <w:tc>
          <w:tcPr>
            <w:tcW w:w="1050" w:type="dxa"/>
            <w:tcBorders>
              <w:top w:val="single" w:sz="4" w:space="0" w:color="auto"/>
              <w:left w:val="nil"/>
              <w:bottom w:val="nil"/>
              <w:right w:val="nil"/>
            </w:tcBorders>
            <w:shd w:val="clear" w:color="auto" w:fill="auto"/>
            <w:vAlign w:val="center"/>
          </w:tcPr>
          <w:p w:rsidR="00BD581D" w:rsidRPr="009D59B1" w:rsidRDefault="00BD581D" w:rsidP="009D59B1">
            <w:pPr>
              <w:jc w:val="both"/>
              <w:rPr>
                <w:i/>
                <w:sz w:val="20"/>
                <w:szCs w:val="20"/>
              </w:rPr>
            </w:pPr>
            <w:r w:rsidRPr="009D59B1">
              <w:rPr>
                <w:i/>
                <w:sz w:val="20"/>
                <w:szCs w:val="20"/>
              </w:rPr>
              <w:t>N</w:t>
            </w:r>
          </w:p>
        </w:tc>
        <w:tc>
          <w:tcPr>
            <w:tcW w:w="1050" w:type="dxa"/>
            <w:tcBorders>
              <w:top w:val="single" w:sz="4" w:space="0" w:color="auto"/>
              <w:left w:val="nil"/>
              <w:bottom w:val="nil"/>
              <w:right w:val="nil"/>
            </w:tcBorders>
            <w:shd w:val="clear" w:color="auto" w:fill="auto"/>
            <w:vAlign w:val="center"/>
          </w:tcPr>
          <w:p w:rsidR="00BD581D" w:rsidRPr="009D59B1" w:rsidRDefault="00BD581D" w:rsidP="009D59B1">
            <w:pPr>
              <w:jc w:val="both"/>
              <w:rPr>
                <w:i/>
                <w:sz w:val="20"/>
                <w:szCs w:val="20"/>
              </w:rPr>
            </w:pPr>
            <w:r w:rsidRPr="009D59B1">
              <w:rPr>
                <w:i/>
                <w:sz w:val="20"/>
                <w:szCs w:val="20"/>
              </w:rPr>
              <w:t>M</w:t>
            </w:r>
          </w:p>
        </w:tc>
        <w:tc>
          <w:tcPr>
            <w:tcW w:w="1050" w:type="dxa"/>
            <w:tcBorders>
              <w:top w:val="single" w:sz="4" w:space="0" w:color="auto"/>
              <w:left w:val="nil"/>
              <w:bottom w:val="nil"/>
              <w:right w:val="nil"/>
            </w:tcBorders>
            <w:shd w:val="clear" w:color="auto" w:fill="auto"/>
            <w:vAlign w:val="center"/>
          </w:tcPr>
          <w:p w:rsidR="00BD581D" w:rsidRPr="009D59B1" w:rsidRDefault="00BD581D" w:rsidP="009D59B1">
            <w:pPr>
              <w:jc w:val="both"/>
              <w:rPr>
                <w:i/>
                <w:sz w:val="20"/>
                <w:szCs w:val="20"/>
              </w:rPr>
            </w:pPr>
            <w:r w:rsidRPr="009D59B1">
              <w:rPr>
                <w:i/>
                <w:sz w:val="20"/>
                <w:szCs w:val="20"/>
              </w:rPr>
              <w:t>SD</w:t>
            </w:r>
          </w:p>
        </w:tc>
        <w:tc>
          <w:tcPr>
            <w:tcW w:w="1050" w:type="dxa"/>
            <w:tcBorders>
              <w:top w:val="single" w:sz="4" w:space="0" w:color="auto"/>
              <w:left w:val="nil"/>
              <w:bottom w:val="nil"/>
              <w:right w:val="nil"/>
            </w:tcBorders>
            <w:shd w:val="clear" w:color="auto" w:fill="auto"/>
            <w:vAlign w:val="center"/>
          </w:tcPr>
          <w:p w:rsidR="00BD581D" w:rsidRPr="009D59B1" w:rsidRDefault="00BD581D" w:rsidP="009D59B1">
            <w:pPr>
              <w:jc w:val="both"/>
              <w:rPr>
                <w:i/>
                <w:sz w:val="20"/>
                <w:szCs w:val="20"/>
              </w:rPr>
            </w:pPr>
            <w:r w:rsidRPr="009D59B1">
              <w:rPr>
                <w:i/>
                <w:sz w:val="20"/>
                <w:szCs w:val="20"/>
              </w:rPr>
              <w:t>N</w:t>
            </w:r>
          </w:p>
        </w:tc>
        <w:tc>
          <w:tcPr>
            <w:tcW w:w="1050" w:type="dxa"/>
            <w:tcBorders>
              <w:top w:val="single" w:sz="4" w:space="0" w:color="auto"/>
              <w:left w:val="nil"/>
              <w:bottom w:val="nil"/>
              <w:right w:val="nil"/>
            </w:tcBorders>
            <w:shd w:val="clear" w:color="auto" w:fill="auto"/>
            <w:vAlign w:val="center"/>
          </w:tcPr>
          <w:p w:rsidR="00BD581D" w:rsidRPr="009D59B1" w:rsidRDefault="00BD581D" w:rsidP="009D59B1">
            <w:pPr>
              <w:jc w:val="both"/>
              <w:rPr>
                <w:i/>
                <w:sz w:val="20"/>
                <w:szCs w:val="20"/>
              </w:rPr>
            </w:pPr>
            <w:r w:rsidRPr="009D59B1">
              <w:rPr>
                <w:i/>
                <w:sz w:val="20"/>
                <w:szCs w:val="20"/>
              </w:rPr>
              <w:t>M</w:t>
            </w:r>
          </w:p>
        </w:tc>
        <w:tc>
          <w:tcPr>
            <w:tcW w:w="1050" w:type="dxa"/>
            <w:tcBorders>
              <w:top w:val="single" w:sz="4" w:space="0" w:color="auto"/>
              <w:left w:val="nil"/>
              <w:bottom w:val="nil"/>
              <w:right w:val="nil"/>
            </w:tcBorders>
            <w:shd w:val="clear" w:color="auto" w:fill="auto"/>
            <w:vAlign w:val="center"/>
          </w:tcPr>
          <w:p w:rsidR="00BD581D" w:rsidRPr="009D59B1" w:rsidRDefault="00BD581D" w:rsidP="009D59B1">
            <w:pPr>
              <w:jc w:val="both"/>
              <w:rPr>
                <w:i/>
                <w:sz w:val="20"/>
                <w:szCs w:val="20"/>
              </w:rPr>
            </w:pPr>
            <w:r w:rsidRPr="009D59B1">
              <w:rPr>
                <w:i/>
                <w:sz w:val="20"/>
                <w:szCs w:val="20"/>
              </w:rPr>
              <w:t>SD</w:t>
            </w:r>
          </w:p>
        </w:tc>
      </w:tr>
      <w:tr w:rsidR="00BD581D" w:rsidRPr="009D59B1" w:rsidTr="008014A0">
        <w:trPr>
          <w:trHeight w:val="400"/>
          <w:jc w:val="center"/>
        </w:trPr>
        <w:tc>
          <w:tcPr>
            <w:tcW w:w="4230" w:type="dxa"/>
            <w:gridSpan w:val="4"/>
            <w:tcBorders>
              <w:top w:val="nil"/>
              <w:left w:val="nil"/>
              <w:bottom w:val="nil"/>
              <w:right w:val="nil"/>
            </w:tcBorders>
            <w:shd w:val="clear" w:color="auto" w:fill="auto"/>
            <w:vAlign w:val="center"/>
          </w:tcPr>
          <w:p w:rsidR="00BD581D" w:rsidRPr="009D59B1" w:rsidRDefault="00BD581D" w:rsidP="009D59B1">
            <w:pPr>
              <w:jc w:val="both"/>
              <w:rPr>
                <w:sz w:val="20"/>
                <w:szCs w:val="20"/>
              </w:rPr>
            </w:pPr>
            <w:r w:rsidRPr="009D59B1">
              <w:rPr>
                <w:i/>
                <w:sz w:val="20"/>
                <w:szCs w:val="20"/>
              </w:rPr>
              <w:t>Target Word Vocabulary</w:t>
            </w:r>
          </w:p>
        </w:tc>
        <w:tc>
          <w:tcPr>
            <w:tcW w:w="1050" w:type="dxa"/>
            <w:tcBorders>
              <w:top w:val="nil"/>
              <w:left w:val="nil"/>
              <w:bottom w:val="nil"/>
              <w:right w:val="nil"/>
            </w:tcBorders>
            <w:shd w:val="clear" w:color="auto" w:fill="auto"/>
            <w:vAlign w:val="center"/>
          </w:tcPr>
          <w:p w:rsidR="00BD581D" w:rsidRPr="009D59B1" w:rsidRDefault="00BD581D" w:rsidP="009D59B1">
            <w:pPr>
              <w:jc w:val="both"/>
              <w:rPr>
                <w:sz w:val="20"/>
                <w:szCs w:val="20"/>
              </w:rPr>
            </w:pPr>
          </w:p>
        </w:tc>
        <w:tc>
          <w:tcPr>
            <w:tcW w:w="1050" w:type="dxa"/>
            <w:tcBorders>
              <w:top w:val="nil"/>
              <w:left w:val="nil"/>
              <w:bottom w:val="nil"/>
              <w:right w:val="nil"/>
            </w:tcBorders>
            <w:shd w:val="clear" w:color="auto" w:fill="auto"/>
            <w:vAlign w:val="center"/>
          </w:tcPr>
          <w:p w:rsidR="00BD581D" w:rsidRPr="009D59B1" w:rsidRDefault="00BD581D" w:rsidP="009D59B1">
            <w:pPr>
              <w:jc w:val="both"/>
              <w:rPr>
                <w:sz w:val="20"/>
                <w:szCs w:val="20"/>
              </w:rPr>
            </w:pPr>
          </w:p>
        </w:tc>
        <w:tc>
          <w:tcPr>
            <w:tcW w:w="1050" w:type="dxa"/>
            <w:tcBorders>
              <w:top w:val="nil"/>
              <w:left w:val="nil"/>
              <w:bottom w:val="nil"/>
              <w:right w:val="nil"/>
            </w:tcBorders>
            <w:shd w:val="clear" w:color="auto" w:fill="auto"/>
            <w:vAlign w:val="center"/>
          </w:tcPr>
          <w:p w:rsidR="00BD581D" w:rsidRPr="009D59B1" w:rsidRDefault="00BD581D" w:rsidP="009D59B1">
            <w:pPr>
              <w:jc w:val="both"/>
              <w:rPr>
                <w:sz w:val="20"/>
                <w:szCs w:val="20"/>
              </w:rPr>
            </w:pPr>
          </w:p>
        </w:tc>
      </w:tr>
      <w:tr w:rsidR="00BD581D" w:rsidRPr="009D59B1" w:rsidTr="008014A0">
        <w:trPr>
          <w:trHeight w:val="400"/>
          <w:jc w:val="center"/>
        </w:trPr>
        <w:tc>
          <w:tcPr>
            <w:tcW w:w="1080" w:type="dxa"/>
            <w:tcBorders>
              <w:top w:val="nil"/>
              <w:left w:val="nil"/>
              <w:bottom w:val="nil"/>
              <w:right w:val="nil"/>
            </w:tcBorders>
            <w:shd w:val="clear" w:color="auto" w:fill="auto"/>
            <w:vAlign w:val="center"/>
          </w:tcPr>
          <w:p w:rsidR="00BD581D" w:rsidRPr="009D59B1" w:rsidRDefault="00BD581D" w:rsidP="009D59B1">
            <w:pPr>
              <w:jc w:val="both"/>
              <w:rPr>
                <w:sz w:val="20"/>
                <w:szCs w:val="20"/>
              </w:rPr>
            </w:pPr>
            <w:r w:rsidRPr="009D59B1">
              <w:rPr>
                <w:sz w:val="20"/>
                <w:szCs w:val="20"/>
              </w:rPr>
              <w:t>PAD</w:t>
            </w:r>
          </w:p>
        </w:tc>
        <w:tc>
          <w:tcPr>
            <w:tcW w:w="1050" w:type="dxa"/>
            <w:tcBorders>
              <w:top w:val="nil"/>
              <w:left w:val="nil"/>
              <w:bottom w:val="nil"/>
              <w:right w:val="nil"/>
            </w:tcBorders>
            <w:shd w:val="clear" w:color="auto" w:fill="auto"/>
            <w:vAlign w:val="center"/>
          </w:tcPr>
          <w:p w:rsidR="00BD581D" w:rsidRPr="009D59B1" w:rsidRDefault="00BD581D" w:rsidP="009D59B1">
            <w:pPr>
              <w:jc w:val="both"/>
              <w:rPr>
                <w:sz w:val="20"/>
                <w:szCs w:val="20"/>
              </w:rPr>
            </w:pPr>
            <w:r w:rsidRPr="009D59B1">
              <w:rPr>
                <w:sz w:val="20"/>
                <w:szCs w:val="20"/>
              </w:rPr>
              <w:t>13</w:t>
            </w:r>
          </w:p>
        </w:tc>
        <w:tc>
          <w:tcPr>
            <w:tcW w:w="1050" w:type="dxa"/>
            <w:tcBorders>
              <w:top w:val="nil"/>
              <w:left w:val="nil"/>
              <w:bottom w:val="nil"/>
              <w:right w:val="nil"/>
            </w:tcBorders>
            <w:shd w:val="clear" w:color="auto" w:fill="auto"/>
            <w:vAlign w:val="center"/>
          </w:tcPr>
          <w:p w:rsidR="00BD581D" w:rsidRPr="009D59B1" w:rsidRDefault="00BD581D" w:rsidP="009D59B1">
            <w:pPr>
              <w:jc w:val="both"/>
              <w:rPr>
                <w:sz w:val="20"/>
                <w:szCs w:val="20"/>
              </w:rPr>
            </w:pPr>
            <w:r w:rsidRPr="009D59B1">
              <w:rPr>
                <w:sz w:val="20"/>
                <w:szCs w:val="20"/>
              </w:rPr>
              <w:t>36.46</w:t>
            </w:r>
          </w:p>
        </w:tc>
        <w:tc>
          <w:tcPr>
            <w:tcW w:w="1050" w:type="dxa"/>
            <w:tcBorders>
              <w:top w:val="nil"/>
              <w:left w:val="nil"/>
              <w:bottom w:val="nil"/>
              <w:right w:val="nil"/>
            </w:tcBorders>
            <w:shd w:val="clear" w:color="auto" w:fill="auto"/>
            <w:vAlign w:val="center"/>
          </w:tcPr>
          <w:p w:rsidR="00BD581D" w:rsidRPr="009D59B1" w:rsidRDefault="00BD581D" w:rsidP="009D59B1">
            <w:pPr>
              <w:jc w:val="both"/>
              <w:rPr>
                <w:sz w:val="20"/>
                <w:szCs w:val="20"/>
              </w:rPr>
            </w:pPr>
            <w:r w:rsidRPr="009D59B1">
              <w:rPr>
                <w:sz w:val="20"/>
                <w:szCs w:val="20"/>
              </w:rPr>
              <w:t>5.78</w:t>
            </w:r>
          </w:p>
        </w:tc>
        <w:tc>
          <w:tcPr>
            <w:tcW w:w="1050" w:type="dxa"/>
            <w:tcBorders>
              <w:top w:val="nil"/>
              <w:left w:val="nil"/>
              <w:bottom w:val="nil"/>
              <w:right w:val="nil"/>
            </w:tcBorders>
            <w:shd w:val="clear" w:color="auto" w:fill="auto"/>
            <w:vAlign w:val="center"/>
          </w:tcPr>
          <w:p w:rsidR="00BD581D" w:rsidRPr="009D59B1" w:rsidRDefault="00BD581D" w:rsidP="009D59B1">
            <w:pPr>
              <w:jc w:val="both"/>
              <w:rPr>
                <w:sz w:val="20"/>
                <w:szCs w:val="20"/>
              </w:rPr>
            </w:pPr>
            <w:r w:rsidRPr="009D59B1">
              <w:rPr>
                <w:sz w:val="20"/>
                <w:szCs w:val="20"/>
              </w:rPr>
              <w:t>18</w:t>
            </w:r>
          </w:p>
        </w:tc>
        <w:tc>
          <w:tcPr>
            <w:tcW w:w="1050" w:type="dxa"/>
            <w:tcBorders>
              <w:top w:val="nil"/>
              <w:left w:val="nil"/>
              <w:bottom w:val="nil"/>
              <w:right w:val="nil"/>
            </w:tcBorders>
            <w:shd w:val="clear" w:color="auto" w:fill="auto"/>
            <w:vAlign w:val="center"/>
          </w:tcPr>
          <w:p w:rsidR="00BD581D" w:rsidRPr="009D59B1" w:rsidRDefault="00BD581D" w:rsidP="009D59B1">
            <w:pPr>
              <w:jc w:val="both"/>
              <w:rPr>
                <w:sz w:val="20"/>
                <w:szCs w:val="20"/>
              </w:rPr>
            </w:pPr>
            <w:r w:rsidRPr="009D59B1">
              <w:rPr>
                <w:sz w:val="20"/>
                <w:szCs w:val="20"/>
              </w:rPr>
              <w:t>36.94</w:t>
            </w:r>
          </w:p>
        </w:tc>
        <w:tc>
          <w:tcPr>
            <w:tcW w:w="1050" w:type="dxa"/>
            <w:tcBorders>
              <w:top w:val="nil"/>
              <w:left w:val="nil"/>
              <w:bottom w:val="nil"/>
              <w:right w:val="nil"/>
            </w:tcBorders>
            <w:shd w:val="clear" w:color="auto" w:fill="auto"/>
            <w:vAlign w:val="center"/>
          </w:tcPr>
          <w:p w:rsidR="00BD581D" w:rsidRPr="009D59B1" w:rsidRDefault="00BD581D" w:rsidP="009D59B1">
            <w:pPr>
              <w:jc w:val="both"/>
              <w:rPr>
                <w:sz w:val="20"/>
                <w:szCs w:val="20"/>
              </w:rPr>
            </w:pPr>
            <w:r w:rsidRPr="009D59B1">
              <w:rPr>
                <w:sz w:val="20"/>
                <w:szCs w:val="20"/>
              </w:rPr>
              <w:t>7.86</w:t>
            </w:r>
          </w:p>
        </w:tc>
      </w:tr>
      <w:tr w:rsidR="00BD581D" w:rsidRPr="009D59B1" w:rsidTr="008014A0">
        <w:trPr>
          <w:trHeight w:val="400"/>
          <w:jc w:val="center"/>
        </w:trPr>
        <w:tc>
          <w:tcPr>
            <w:tcW w:w="1080" w:type="dxa"/>
            <w:tcBorders>
              <w:top w:val="nil"/>
              <w:left w:val="nil"/>
              <w:right w:val="nil"/>
            </w:tcBorders>
            <w:shd w:val="clear" w:color="auto" w:fill="auto"/>
            <w:vAlign w:val="center"/>
          </w:tcPr>
          <w:p w:rsidR="00BD581D" w:rsidRPr="009D59B1" w:rsidRDefault="00BD581D" w:rsidP="009D59B1">
            <w:pPr>
              <w:jc w:val="both"/>
              <w:rPr>
                <w:sz w:val="20"/>
                <w:szCs w:val="20"/>
              </w:rPr>
            </w:pPr>
            <w:r w:rsidRPr="009D59B1">
              <w:rPr>
                <w:sz w:val="20"/>
                <w:szCs w:val="20"/>
              </w:rPr>
              <w:t>SR</w:t>
            </w:r>
          </w:p>
        </w:tc>
        <w:tc>
          <w:tcPr>
            <w:tcW w:w="1050" w:type="dxa"/>
            <w:tcBorders>
              <w:top w:val="nil"/>
              <w:left w:val="nil"/>
              <w:right w:val="nil"/>
            </w:tcBorders>
            <w:shd w:val="clear" w:color="auto" w:fill="auto"/>
            <w:vAlign w:val="center"/>
          </w:tcPr>
          <w:p w:rsidR="00BD581D" w:rsidRPr="009D59B1" w:rsidRDefault="00BD581D" w:rsidP="009D59B1">
            <w:pPr>
              <w:jc w:val="both"/>
              <w:rPr>
                <w:sz w:val="20"/>
                <w:szCs w:val="20"/>
              </w:rPr>
            </w:pPr>
            <w:r w:rsidRPr="009D59B1">
              <w:rPr>
                <w:sz w:val="20"/>
                <w:szCs w:val="20"/>
              </w:rPr>
              <w:t>23</w:t>
            </w:r>
          </w:p>
        </w:tc>
        <w:tc>
          <w:tcPr>
            <w:tcW w:w="1050" w:type="dxa"/>
            <w:tcBorders>
              <w:top w:val="nil"/>
              <w:left w:val="nil"/>
              <w:right w:val="nil"/>
            </w:tcBorders>
            <w:shd w:val="clear" w:color="auto" w:fill="auto"/>
            <w:vAlign w:val="center"/>
          </w:tcPr>
          <w:p w:rsidR="00BD581D" w:rsidRPr="009D59B1" w:rsidRDefault="00BD581D" w:rsidP="009D59B1">
            <w:pPr>
              <w:jc w:val="both"/>
              <w:rPr>
                <w:sz w:val="20"/>
                <w:szCs w:val="20"/>
              </w:rPr>
            </w:pPr>
            <w:r w:rsidRPr="009D59B1">
              <w:rPr>
                <w:sz w:val="20"/>
                <w:szCs w:val="20"/>
              </w:rPr>
              <w:t>37.83</w:t>
            </w:r>
          </w:p>
        </w:tc>
        <w:tc>
          <w:tcPr>
            <w:tcW w:w="1050" w:type="dxa"/>
            <w:tcBorders>
              <w:top w:val="nil"/>
              <w:left w:val="nil"/>
              <w:right w:val="nil"/>
            </w:tcBorders>
            <w:shd w:val="clear" w:color="auto" w:fill="auto"/>
            <w:vAlign w:val="center"/>
          </w:tcPr>
          <w:p w:rsidR="00BD581D" w:rsidRPr="009D59B1" w:rsidRDefault="00BD581D" w:rsidP="009D59B1">
            <w:pPr>
              <w:jc w:val="both"/>
              <w:rPr>
                <w:sz w:val="20"/>
                <w:szCs w:val="20"/>
              </w:rPr>
            </w:pPr>
            <w:r w:rsidRPr="009D59B1">
              <w:rPr>
                <w:sz w:val="20"/>
                <w:szCs w:val="20"/>
              </w:rPr>
              <w:t>6.81</w:t>
            </w:r>
          </w:p>
        </w:tc>
        <w:tc>
          <w:tcPr>
            <w:tcW w:w="1050" w:type="dxa"/>
            <w:tcBorders>
              <w:top w:val="nil"/>
              <w:left w:val="nil"/>
              <w:right w:val="nil"/>
            </w:tcBorders>
            <w:shd w:val="clear" w:color="auto" w:fill="auto"/>
            <w:vAlign w:val="center"/>
          </w:tcPr>
          <w:p w:rsidR="00BD581D" w:rsidRPr="009D59B1" w:rsidRDefault="00BD581D" w:rsidP="009D59B1">
            <w:pPr>
              <w:jc w:val="both"/>
              <w:rPr>
                <w:sz w:val="20"/>
                <w:szCs w:val="20"/>
              </w:rPr>
            </w:pPr>
            <w:r w:rsidRPr="009D59B1">
              <w:rPr>
                <w:sz w:val="20"/>
                <w:szCs w:val="20"/>
              </w:rPr>
              <w:t>24</w:t>
            </w:r>
          </w:p>
        </w:tc>
        <w:tc>
          <w:tcPr>
            <w:tcW w:w="1050" w:type="dxa"/>
            <w:tcBorders>
              <w:top w:val="nil"/>
              <w:left w:val="nil"/>
              <w:right w:val="nil"/>
            </w:tcBorders>
            <w:shd w:val="clear" w:color="auto" w:fill="auto"/>
            <w:vAlign w:val="center"/>
          </w:tcPr>
          <w:p w:rsidR="00BD581D" w:rsidRPr="009D59B1" w:rsidRDefault="00BD581D" w:rsidP="009D59B1">
            <w:pPr>
              <w:jc w:val="both"/>
              <w:rPr>
                <w:sz w:val="20"/>
                <w:szCs w:val="20"/>
              </w:rPr>
            </w:pPr>
            <w:r w:rsidRPr="009D59B1">
              <w:rPr>
                <w:sz w:val="20"/>
                <w:szCs w:val="20"/>
              </w:rPr>
              <w:t>41.17</w:t>
            </w:r>
          </w:p>
        </w:tc>
        <w:tc>
          <w:tcPr>
            <w:tcW w:w="1050" w:type="dxa"/>
            <w:tcBorders>
              <w:top w:val="nil"/>
              <w:left w:val="nil"/>
              <w:right w:val="nil"/>
            </w:tcBorders>
            <w:shd w:val="clear" w:color="auto" w:fill="auto"/>
            <w:vAlign w:val="center"/>
          </w:tcPr>
          <w:p w:rsidR="00BD581D" w:rsidRPr="009D59B1" w:rsidRDefault="00BD581D" w:rsidP="009D59B1">
            <w:pPr>
              <w:jc w:val="both"/>
              <w:rPr>
                <w:sz w:val="20"/>
                <w:szCs w:val="20"/>
              </w:rPr>
            </w:pPr>
            <w:r w:rsidRPr="009D59B1">
              <w:rPr>
                <w:sz w:val="20"/>
                <w:szCs w:val="20"/>
              </w:rPr>
              <w:t>7.89</w:t>
            </w:r>
          </w:p>
        </w:tc>
      </w:tr>
      <w:tr w:rsidR="00BD581D" w:rsidRPr="009D59B1" w:rsidTr="008014A0">
        <w:trPr>
          <w:trHeight w:val="400"/>
          <w:jc w:val="center"/>
        </w:trPr>
        <w:tc>
          <w:tcPr>
            <w:tcW w:w="1080" w:type="dxa"/>
            <w:tcBorders>
              <w:top w:val="nil"/>
              <w:left w:val="nil"/>
              <w:right w:val="nil"/>
            </w:tcBorders>
            <w:shd w:val="clear" w:color="auto" w:fill="auto"/>
            <w:vAlign w:val="center"/>
          </w:tcPr>
          <w:p w:rsidR="00BD581D" w:rsidRPr="009D59B1" w:rsidRDefault="00BD581D" w:rsidP="009D59B1">
            <w:pPr>
              <w:jc w:val="both"/>
              <w:rPr>
                <w:sz w:val="20"/>
                <w:szCs w:val="20"/>
              </w:rPr>
            </w:pPr>
            <w:r w:rsidRPr="009D59B1">
              <w:rPr>
                <w:sz w:val="20"/>
                <w:szCs w:val="20"/>
              </w:rPr>
              <w:t>MA</w:t>
            </w:r>
          </w:p>
        </w:tc>
        <w:tc>
          <w:tcPr>
            <w:tcW w:w="1050" w:type="dxa"/>
            <w:tcBorders>
              <w:top w:val="nil"/>
              <w:left w:val="nil"/>
              <w:right w:val="nil"/>
            </w:tcBorders>
            <w:shd w:val="clear" w:color="auto" w:fill="auto"/>
            <w:vAlign w:val="center"/>
          </w:tcPr>
          <w:p w:rsidR="00BD581D" w:rsidRPr="009D59B1" w:rsidRDefault="00BD581D" w:rsidP="009D59B1">
            <w:pPr>
              <w:jc w:val="both"/>
              <w:rPr>
                <w:sz w:val="20"/>
                <w:szCs w:val="20"/>
              </w:rPr>
            </w:pPr>
            <w:r w:rsidRPr="009D59B1">
              <w:rPr>
                <w:sz w:val="20"/>
                <w:szCs w:val="20"/>
              </w:rPr>
              <w:t>22</w:t>
            </w:r>
          </w:p>
        </w:tc>
        <w:tc>
          <w:tcPr>
            <w:tcW w:w="1050" w:type="dxa"/>
            <w:tcBorders>
              <w:top w:val="nil"/>
              <w:left w:val="nil"/>
              <w:right w:val="nil"/>
            </w:tcBorders>
            <w:shd w:val="clear" w:color="auto" w:fill="auto"/>
            <w:vAlign w:val="center"/>
          </w:tcPr>
          <w:p w:rsidR="00BD581D" w:rsidRPr="009D59B1" w:rsidRDefault="00BD581D" w:rsidP="009D59B1">
            <w:pPr>
              <w:jc w:val="both"/>
              <w:rPr>
                <w:sz w:val="20"/>
                <w:szCs w:val="20"/>
              </w:rPr>
            </w:pPr>
            <w:r w:rsidRPr="009D59B1">
              <w:rPr>
                <w:sz w:val="20"/>
                <w:szCs w:val="20"/>
              </w:rPr>
              <w:t>35.45</w:t>
            </w:r>
          </w:p>
        </w:tc>
        <w:tc>
          <w:tcPr>
            <w:tcW w:w="1050" w:type="dxa"/>
            <w:tcBorders>
              <w:top w:val="nil"/>
              <w:left w:val="nil"/>
              <w:right w:val="nil"/>
            </w:tcBorders>
            <w:shd w:val="clear" w:color="auto" w:fill="auto"/>
            <w:vAlign w:val="center"/>
          </w:tcPr>
          <w:p w:rsidR="00BD581D" w:rsidRPr="009D59B1" w:rsidRDefault="00BD581D" w:rsidP="009D59B1">
            <w:pPr>
              <w:jc w:val="both"/>
              <w:rPr>
                <w:sz w:val="20"/>
                <w:szCs w:val="20"/>
              </w:rPr>
            </w:pPr>
            <w:r w:rsidRPr="009D59B1">
              <w:rPr>
                <w:sz w:val="20"/>
                <w:szCs w:val="20"/>
              </w:rPr>
              <w:t>6.86</w:t>
            </w:r>
          </w:p>
        </w:tc>
        <w:tc>
          <w:tcPr>
            <w:tcW w:w="1050" w:type="dxa"/>
            <w:tcBorders>
              <w:top w:val="nil"/>
              <w:left w:val="nil"/>
              <w:right w:val="nil"/>
            </w:tcBorders>
            <w:shd w:val="clear" w:color="auto" w:fill="auto"/>
            <w:vAlign w:val="center"/>
          </w:tcPr>
          <w:p w:rsidR="00BD581D" w:rsidRPr="009D59B1" w:rsidRDefault="00BD581D" w:rsidP="009D59B1">
            <w:pPr>
              <w:jc w:val="both"/>
              <w:rPr>
                <w:sz w:val="20"/>
                <w:szCs w:val="20"/>
              </w:rPr>
            </w:pPr>
            <w:r w:rsidRPr="009D59B1">
              <w:rPr>
                <w:sz w:val="20"/>
                <w:szCs w:val="20"/>
              </w:rPr>
              <w:t>25</w:t>
            </w:r>
          </w:p>
        </w:tc>
        <w:tc>
          <w:tcPr>
            <w:tcW w:w="1050" w:type="dxa"/>
            <w:tcBorders>
              <w:top w:val="nil"/>
              <w:left w:val="nil"/>
              <w:right w:val="nil"/>
            </w:tcBorders>
            <w:shd w:val="clear" w:color="auto" w:fill="auto"/>
            <w:vAlign w:val="center"/>
          </w:tcPr>
          <w:p w:rsidR="00BD581D" w:rsidRPr="009D59B1" w:rsidRDefault="00BD581D" w:rsidP="009D59B1">
            <w:pPr>
              <w:jc w:val="both"/>
              <w:rPr>
                <w:sz w:val="20"/>
                <w:szCs w:val="20"/>
              </w:rPr>
            </w:pPr>
            <w:r w:rsidRPr="009D59B1">
              <w:rPr>
                <w:sz w:val="20"/>
                <w:szCs w:val="20"/>
              </w:rPr>
              <w:t>41.84</w:t>
            </w:r>
          </w:p>
        </w:tc>
        <w:tc>
          <w:tcPr>
            <w:tcW w:w="1050" w:type="dxa"/>
            <w:tcBorders>
              <w:top w:val="nil"/>
              <w:left w:val="nil"/>
              <w:right w:val="nil"/>
            </w:tcBorders>
            <w:shd w:val="clear" w:color="auto" w:fill="auto"/>
            <w:vAlign w:val="center"/>
          </w:tcPr>
          <w:p w:rsidR="00BD581D" w:rsidRPr="009D59B1" w:rsidRDefault="00BD581D" w:rsidP="009D59B1">
            <w:pPr>
              <w:jc w:val="both"/>
              <w:rPr>
                <w:sz w:val="20"/>
                <w:szCs w:val="20"/>
              </w:rPr>
            </w:pPr>
            <w:r w:rsidRPr="009D59B1">
              <w:rPr>
                <w:sz w:val="20"/>
                <w:szCs w:val="20"/>
              </w:rPr>
              <w:t>7.5</w:t>
            </w:r>
          </w:p>
        </w:tc>
      </w:tr>
      <w:tr w:rsidR="00BD581D" w:rsidRPr="009D59B1" w:rsidTr="008014A0">
        <w:trPr>
          <w:trHeight w:val="400"/>
          <w:jc w:val="center"/>
        </w:trPr>
        <w:tc>
          <w:tcPr>
            <w:tcW w:w="4230" w:type="dxa"/>
            <w:gridSpan w:val="4"/>
            <w:tcBorders>
              <w:left w:val="nil"/>
              <w:bottom w:val="nil"/>
              <w:right w:val="nil"/>
            </w:tcBorders>
            <w:shd w:val="clear" w:color="auto" w:fill="auto"/>
            <w:vAlign w:val="center"/>
          </w:tcPr>
          <w:p w:rsidR="00BD581D" w:rsidRPr="009D59B1" w:rsidRDefault="00BD581D" w:rsidP="009D59B1">
            <w:pPr>
              <w:jc w:val="both"/>
              <w:rPr>
                <w:sz w:val="20"/>
                <w:szCs w:val="20"/>
              </w:rPr>
            </w:pPr>
            <w:r w:rsidRPr="009D59B1">
              <w:rPr>
                <w:i/>
                <w:sz w:val="20"/>
                <w:szCs w:val="20"/>
              </w:rPr>
              <w:t>Nonsense Word Fluency</w:t>
            </w:r>
          </w:p>
        </w:tc>
        <w:tc>
          <w:tcPr>
            <w:tcW w:w="1050" w:type="dxa"/>
            <w:tcBorders>
              <w:left w:val="nil"/>
              <w:bottom w:val="nil"/>
              <w:right w:val="nil"/>
            </w:tcBorders>
            <w:shd w:val="clear" w:color="auto" w:fill="auto"/>
            <w:vAlign w:val="center"/>
          </w:tcPr>
          <w:p w:rsidR="00BD581D" w:rsidRPr="009D59B1" w:rsidRDefault="00BD581D" w:rsidP="009D59B1">
            <w:pPr>
              <w:jc w:val="both"/>
              <w:rPr>
                <w:sz w:val="20"/>
                <w:szCs w:val="20"/>
              </w:rPr>
            </w:pPr>
          </w:p>
        </w:tc>
        <w:tc>
          <w:tcPr>
            <w:tcW w:w="1050" w:type="dxa"/>
            <w:tcBorders>
              <w:left w:val="nil"/>
              <w:bottom w:val="nil"/>
              <w:right w:val="nil"/>
            </w:tcBorders>
            <w:shd w:val="clear" w:color="auto" w:fill="auto"/>
            <w:vAlign w:val="center"/>
          </w:tcPr>
          <w:p w:rsidR="00BD581D" w:rsidRPr="009D59B1" w:rsidRDefault="00BD581D" w:rsidP="009D59B1">
            <w:pPr>
              <w:jc w:val="both"/>
              <w:rPr>
                <w:sz w:val="20"/>
                <w:szCs w:val="20"/>
              </w:rPr>
            </w:pPr>
          </w:p>
        </w:tc>
        <w:tc>
          <w:tcPr>
            <w:tcW w:w="1050" w:type="dxa"/>
            <w:tcBorders>
              <w:left w:val="nil"/>
              <w:bottom w:val="nil"/>
              <w:right w:val="nil"/>
            </w:tcBorders>
            <w:shd w:val="clear" w:color="auto" w:fill="auto"/>
            <w:vAlign w:val="center"/>
          </w:tcPr>
          <w:p w:rsidR="00BD581D" w:rsidRPr="009D59B1" w:rsidRDefault="00BD581D" w:rsidP="009D59B1">
            <w:pPr>
              <w:jc w:val="both"/>
              <w:rPr>
                <w:sz w:val="20"/>
                <w:szCs w:val="20"/>
              </w:rPr>
            </w:pPr>
          </w:p>
        </w:tc>
      </w:tr>
      <w:tr w:rsidR="00BD581D" w:rsidRPr="009D59B1" w:rsidTr="008014A0">
        <w:trPr>
          <w:trHeight w:val="400"/>
          <w:jc w:val="center"/>
        </w:trPr>
        <w:tc>
          <w:tcPr>
            <w:tcW w:w="1080" w:type="dxa"/>
            <w:tcBorders>
              <w:top w:val="nil"/>
              <w:left w:val="nil"/>
              <w:bottom w:val="nil"/>
              <w:right w:val="nil"/>
            </w:tcBorders>
            <w:shd w:val="clear" w:color="auto" w:fill="auto"/>
            <w:vAlign w:val="center"/>
          </w:tcPr>
          <w:p w:rsidR="00BD581D" w:rsidRPr="009D59B1" w:rsidRDefault="00BD581D" w:rsidP="009D59B1">
            <w:pPr>
              <w:jc w:val="both"/>
              <w:rPr>
                <w:sz w:val="20"/>
                <w:szCs w:val="20"/>
              </w:rPr>
            </w:pPr>
            <w:r w:rsidRPr="009D59B1">
              <w:rPr>
                <w:sz w:val="20"/>
                <w:szCs w:val="20"/>
              </w:rPr>
              <w:t>PAD</w:t>
            </w:r>
          </w:p>
        </w:tc>
        <w:tc>
          <w:tcPr>
            <w:tcW w:w="1050" w:type="dxa"/>
            <w:tcBorders>
              <w:top w:val="nil"/>
              <w:left w:val="nil"/>
              <w:bottom w:val="nil"/>
              <w:right w:val="nil"/>
            </w:tcBorders>
            <w:shd w:val="clear" w:color="auto" w:fill="auto"/>
            <w:vAlign w:val="center"/>
          </w:tcPr>
          <w:p w:rsidR="00BD581D" w:rsidRPr="009D59B1" w:rsidRDefault="00BD581D" w:rsidP="009D59B1">
            <w:pPr>
              <w:jc w:val="both"/>
              <w:rPr>
                <w:sz w:val="20"/>
                <w:szCs w:val="20"/>
              </w:rPr>
            </w:pPr>
            <w:r w:rsidRPr="009D59B1">
              <w:rPr>
                <w:sz w:val="20"/>
                <w:szCs w:val="20"/>
              </w:rPr>
              <w:t>18</w:t>
            </w:r>
          </w:p>
        </w:tc>
        <w:tc>
          <w:tcPr>
            <w:tcW w:w="1050" w:type="dxa"/>
            <w:tcBorders>
              <w:top w:val="nil"/>
              <w:left w:val="nil"/>
              <w:bottom w:val="nil"/>
              <w:right w:val="nil"/>
            </w:tcBorders>
            <w:shd w:val="clear" w:color="auto" w:fill="auto"/>
            <w:vAlign w:val="center"/>
          </w:tcPr>
          <w:p w:rsidR="00BD581D" w:rsidRPr="009D59B1" w:rsidRDefault="00BD581D" w:rsidP="009D59B1">
            <w:pPr>
              <w:jc w:val="both"/>
              <w:rPr>
                <w:sz w:val="20"/>
                <w:szCs w:val="20"/>
              </w:rPr>
            </w:pPr>
            <w:r w:rsidRPr="009D59B1">
              <w:rPr>
                <w:sz w:val="20"/>
                <w:szCs w:val="20"/>
              </w:rPr>
              <w:t>35.06</w:t>
            </w:r>
          </w:p>
        </w:tc>
        <w:tc>
          <w:tcPr>
            <w:tcW w:w="1050" w:type="dxa"/>
            <w:tcBorders>
              <w:top w:val="nil"/>
              <w:left w:val="nil"/>
              <w:bottom w:val="nil"/>
              <w:right w:val="nil"/>
            </w:tcBorders>
            <w:shd w:val="clear" w:color="auto" w:fill="auto"/>
            <w:vAlign w:val="center"/>
          </w:tcPr>
          <w:p w:rsidR="00BD581D" w:rsidRPr="009D59B1" w:rsidRDefault="00BD581D" w:rsidP="009D59B1">
            <w:pPr>
              <w:jc w:val="both"/>
              <w:rPr>
                <w:sz w:val="20"/>
                <w:szCs w:val="20"/>
              </w:rPr>
            </w:pPr>
            <w:r w:rsidRPr="009D59B1">
              <w:rPr>
                <w:sz w:val="20"/>
                <w:szCs w:val="20"/>
              </w:rPr>
              <w:t>17.91</w:t>
            </w:r>
          </w:p>
        </w:tc>
        <w:tc>
          <w:tcPr>
            <w:tcW w:w="1050" w:type="dxa"/>
            <w:tcBorders>
              <w:top w:val="nil"/>
              <w:left w:val="nil"/>
              <w:bottom w:val="nil"/>
              <w:right w:val="nil"/>
            </w:tcBorders>
            <w:shd w:val="clear" w:color="auto" w:fill="auto"/>
            <w:vAlign w:val="center"/>
          </w:tcPr>
          <w:p w:rsidR="00BD581D" w:rsidRPr="009D59B1" w:rsidRDefault="00BD581D" w:rsidP="009D59B1">
            <w:pPr>
              <w:jc w:val="both"/>
              <w:rPr>
                <w:sz w:val="20"/>
                <w:szCs w:val="20"/>
              </w:rPr>
            </w:pPr>
            <w:r w:rsidRPr="009D59B1">
              <w:rPr>
                <w:sz w:val="20"/>
                <w:szCs w:val="20"/>
              </w:rPr>
              <w:t>18</w:t>
            </w:r>
          </w:p>
        </w:tc>
        <w:tc>
          <w:tcPr>
            <w:tcW w:w="1050" w:type="dxa"/>
            <w:tcBorders>
              <w:top w:val="nil"/>
              <w:left w:val="nil"/>
              <w:bottom w:val="nil"/>
              <w:right w:val="nil"/>
            </w:tcBorders>
            <w:shd w:val="clear" w:color="auto" w:fill="auto"/>
            <w:vAlign w:val="center"/>
          </w:tcPr>
          <w:p w:rsidR="00BD581D" w:rsidRPr="009D59B1" w:rsidRDefault="00BD581D" w:rsidP="009D59B1">
            <w:pPr>
              <w:jc w:val="both"/>
              <w:rPr>
                <w:sz w:val="20"/>
                <w:szCs w:val="20"/>
              </w:rPr>
            </w:pPr>
            <w:r w:rsidRPr="009D59B1">
              <w:rPr>
                <w:sz w:val="20"/>
                <w:szCs w:val="20"/>
              </w:rPr>
              <w:t>40.33</w:t>
            </w:r>
          </w:p>
        </w:tc>
        <w:tc>
          <w:tcPr>
            <w:tcW w:w="1050" w:type="dxa"/>
            <w:tcBorders>
              <w:top w:val="nil"/>
              <w:left w:val="nil"/>
              <w:bottom w:val="nil"/>
              <w:right w:val="nil"/>
            </w:tcBorders>
            <w:shd w:val="clear" w:color="auto" w:fill="auto"/>
            <w:vAlign w:val="center"/>
          </w:tcPr>
          <w:p w:rsidR="00BD581D" w:rsidRPr="009D59B1" w:rsidRDefault="00BD581D" w:rsidP="009D59B1">
            <w:pPr>
              <w:jc w:val="both"/>
              <w:rPr>
                <w:sz w:val="20"/>
                <w:szCs w:val="20"/>
              </w:rPr>
            </w:pPr>
            <w:r w:rsidRPr="009D59B1">
              <w:rPr>
                <w:sz w:val="20"/>
                <w:szCs w:val="20"/>
              </w:rPr>
              <w:t>20.95</w:t>
            </w:r>
          </w:p>
        </w:tc>
      </w:tr>
      <w:tr w:rsidR="00BD581D" w:rsidRPr="009D59B1" w:rsidTr="008014A0">
        <w:trPr>
          <w:trHeight w:val="400"/>
          <w:jc w:val="center"/>
        </w:trPr>
        <w:tc>
          <w:tcPr>
            <w:tcW w:w="1080" w:type="dxa"/>
            <w:tcBorders>
              <w:top w:val="nil"/>
              <w:left w:val="nil"/>
              <w:right w:val="nil"/>
            </w:tcBorders>
            <w:shd w:val="clear" w:color="auto" w:fill="auto"/>
            <w:vAlign w:val="center"/>
          </w:tcPr>
          <w:p w:rsidR="00BD581D" w:rsidRPr="009D59B1" w:rsidRDefault="00BD581D" w:rsidP="009D59B1">
            <w:pPr>
              <w:jc w:val="both"/>
              <w:rPr>
                <w:sz w:val="20"/>
                <w:szCs w:val="20"/>
              </w:rPr>
            </w:pPr>
            <w:r w:rsidRPr="009D59B1">
              <w:rPr>
                <w:sz w:val="20"/>
                <w:szCs w:val="20"/>
              </w:rPr>
              <w:t>SR</w:t>
            </w:r>
          </w:p>
        </w:tc>
        <w:tc>
          <w:tcPr>
            <w:tcW w:w="1050" w:type="dxa"/>
            <w:tcBorders>
              <w:top w:val="nil"/>
              <w:left w:val="nil"/>
              <w:right w:val="nil"/>
            </w:tcBorders>
            <w:shd w:val="clear" w:color="auto" w:fill="auto"/>
            <w:vAlign w:val="center"/>
          </w:tcPr>
          <w:p w:rsidR="00BD581D" w:rsidRPr="009D59B1" w:rsidRDefault="00BD581D" w:rsidP="009D59B1">
            <w:pPr>
              <w:jc w:val="both"/>
              <w:rPr>
                <w:sz w:val="20"/>
                <w:szCs w:val="20"/>
              </w:rPr>
            </w:pPr>
            <w:r w:rsidRPr="009D59B1">
              <w:rPr>
                <w:sz w:val="20"/>
                <w:szCs w:val="20"/>
              </w:rPr>
              <w:t>26</w:t>
            </w:r>
          </w:p>
        </w:tc>
        <w:tc>
          <w:tcPr>
            <w:tcW w:w="1050" w:type="dxa"/>
            <w:tcBorders>
              <w:top w:val="nil"/>
              <w:left w:val="nil"/>
              <w:right w:val="nil"/>
            </w:tcBorders>
            <w:shd w:val="clear" w:color="auto" w:fill="auto"/>
            <w:vAlign w:val="center"/>
          </w:tcPr>
          <w:p w:rsidR="00BD581D" w:rsidRPr="009D59B1" w:rsidRDefault="00BD581D" w:rsidP="009D59B1">
            <w:pPr>
              <w:jc w:val="both"/>
              <w:rPr>
                <w:sz w:val="20"/>
                <w:szCs w:val="20"/>
              </w:rPr>
            </w:pPr>
            <w:r w:rsidRPr="009D59B1">
              <w:rPr>
                <w:sz w:val="20"/>
                <w:szCs w:val="20"/>
              </w:rPr>
              <w:t>34.58</w:t>
            </w:r>
          </w:p>
        </w:tc>
        <w:tc>
          <w:tcPr>
            <w:tcW w:w="1050" w:type="dxa"/>
            <w:tcBorders>
              <w:top w:val="nil"/>
              <w:left w:val="nil"/>
              <w:right w:val="nil"/>
            </w:tcBorders>
            <w:shd w:val="clear" w:color="auto" w:fill="auto"/>
            <w:vAlign w:val="center"/>
          </w:tcPr>
          <w:p w:rsidR="00BD581D" w:rsidRPr="009D59B1" w:rsidRDefault="00BD581D" w:rsidP="009D59B1">
            <w:pPr>
              <w:jc w:val="both"/>
              <w:rPr>
                <w:sz w:val="20"/>
                <w:szCs w:val="20"/>
              </w:rPr>
            </w:pPr>
            <w:r w:rsidRPr="009D59B1">
              <w:rPr>
                <w:sz w:val="20"/>
                <w:szCs w:val="20"/>
              </w:rPr>
              <w:t>12.10</w:t>
            </w:r>
          </w:p>
        </w:tc>
        <w:tc>
          <w:tcPr>
            <w:tcW w:w="1050" w:type="dxa"/>
            <w:tcBorders>
              <w:top w:val="nil"/>
              <w:left w:val="nil"/>
              <w:right w:val="nil"/>
            </w:tcBorders>
            <w:shd w:val="clear" w:color="auto" w:fill="auto"/>
            <w:vAlign w:val="center"/>
          </w:tcPr>
          <w:p w:rsidR="00BD581D" w:rsidRPr="009D59B1" w:rsidRDefault="00BD581D" w:rsidP="009D59B1">
            <w:pPr>
              <w:jc w:val="both"/>
              <w:rPr>
                <w:sz w:val="20"/>
                <w:szCs w:val="20"/>
              </w:rPr>
            </w:pPr>
            <w:r w:rsidRPr="009D59B1">
              <w:rPr>
                <w:sz w:val="20"/>
                <w:szCs w:val="20"/>
              </w:rPr>
              <w:t>26</w:t>
            </w:r>
          </w:p>
        </w:tc>
        <w:tc>
          <w:tcPr>
            <w:tcW w:w="1050" w:type="dxa"/>
            <w:tcBorders>
              <w:top w:val="nil"/>
              <w:left w:val="nil"/>
              <w:right w:val="nil"/>
            </w:tcBorders>
            <w:shd w:val="clear" w:color="auto" w:fill="auto"/>
            <w:vAlign w:val="center"/>
          </w:tcPr>
          <w:p w:rsidR="00BD581D" w:rsidRPr="009D59B1" w:rsidRDefault="00BD581D" w:rsidP="009D59B1">
            <w:pPr>
              <w:jc w:val="both"/>
              <w:rPr>
                <w:sz w:val="20"/>
                <w:szCs w:val="20"/>
              </w:rPr>
            </w:pPr>
            <w:r w:rsidRPr="009D59B1">
              <w:rPr>
                <w:sz w:val="20"/>
                <w:szCs w:val="20"/>
              </w:rPr>
              <w:t>48.27</w:t>
            </w:r>
          </w:p>
        </w:tc>
        <w:tc>
          <w:tcPr>
            <w:tcW w:w="1050" w:type="dxa"/>
            <w:tcBorders>
              <w:top w:val="nil"/>
              <w:left w:val="nil"/>
              <w:right w:val="nil"/>
            </w:tcBorders>
            <w:shd w:val="clear" w:color="auto" w:fill="auto"/>
            <w:vAlign w:val="center"/>
          </w:tcPr>
          <w:p w:rsidR="00BD581D" w:rsidRPr="009D59B1" w:rsidRDefault="00BD581D" w:rsidP="009D59B1">
            <w:pPr>
              <w:jc w:val="both"/>
              <w:rPr>
                <w:sz w:val="20"/>
                <w:szCs w:val="20"/>
              </w:rPr>
            </w:pPr>
            <w:r w:rsidRPr="009D59B1">
              <w:rPr>
                <w:sz w:val="20"/>
                <w:szCs w:val="20"/>
              </w:rPr>
              <w:t>21.69</w:t>
            </w:r>
          </w:p>
        </w:tc>
      </w:tr>
      <w:tr w:rsidR="00BD581D" w:rsidRPr="009D59B1" w:rsidTr="008014A0">
        <w:trPr>
          <w:trHeight w:val="400"/>
          <w:jc w:val="center"/>
        </w:trPr>
        <w:tc>
          <w:tcPr>
            <w:tcW w:w="1080" w:type="dxa"/>
            <w:tcBorders>
              <w:top w:val="nil"/>
              <w:left w:val="nil"/>
              <w:bottom w:val="single" w:sz="4" w:space="0" w:color="auto"/>
              <w:right w:val="nil"/>
            </w:tcBorders>
            <w:shd w:val="clear" w:color="auto" w:fill="auto"/>
            <w:vAlign w:val="center"/>
          </w:tcPr>
          <w:p w:rsidR="00BD581D" w:rsidRPr="009D59B1" w:rsidRDefault="00BD581D" w:rsidP="009D59B1">
            <w:pPr>
              <w:jc w:val="both"/>
              <w:rPr>
                <w:sz w:val="20"/>
                <w:szCs w:val="20"/>
              </w:rPr>
            </w:pPr>
            <w:r w:rsidRPr="009D59B1">
              <w:rPr>
                <w:sz w:val="20"/>
                <w:szCs w:val="20"/>
              </w:rPr>
              <w:t>MA</w:t>
            </w:r>
          </w:p>
        </w:tc>
        <w:tc>
          <w:tcPr>
            <w:tcW w:w="1050" w:type="dxa"/>
            <w:tcBorders>
              <w:top w:val="nil"/>
              <w:left w:val="nil"/>
              <w:bottom w:val="single" w:sz="4" w:space="0" w:color="auto"/>
              <w:right w:val="nil"/>
            </w:tcBorders>
            <w:shd w:val="clear" w:color="auto" w:fill="auto"/>
            <w:vAlign w:val="center"/>
          </w:tcPr>
          <w:p w:rsidR="00BD581D" w:rsidRPr="009D59B1" w:rsidRDefault="00BD581D" w:rsidP="009D59B1">
            <w:pPr>
              <w:jc w:val="both"/>
              <w:rPr>
                <w:sz w:val="20"/>
                <w:szCs w:val="20"/>
              </w:rPr>
            </w:pPr>
            <w:r w:rsidRPr="009D59B1">
              <w:rPr>
                <w:sz w:val="20"/>
                <w:szCs w:val="20"/>
              </w:rPr>
              <w:t>27</w:t>
            </w:r>
          </w:p>
        </w:tc>
        <w:tc>
          <w:tcPr>
            <w:tcW w:w="1050" w:type="dxa"/>
            <w:tcBorders>
              <w:top w:val="nil"/>
              <w:left w:val="nil"/>
              <w:bottom w:val="single" w:sz="4" w:space="0" w:color="auto"/>
              <w:right w:val="nil"/>
            </w:tcBorders>
            <w:shd w:val="clear" w:color="auto" w:fill="auto"/>
            <w:vAlign w:val="center"/>
          </w:tcPr>
          <w:p w:rsidR="00BD581D" w:rsidRPr="009D59B1" w:rsidRDefault="00BD581D" w:rsidP="009D59B1">
            <w:pPr>
              <w:jc w:val="both"/>
              <w:rPr>
                <w:sz w:val="20"/>
                <w:szCs w:val="20"/>
              </w:rPr>
            </w:pPr>
            <w:r w:rsidRPr="009D59B1">
              <w:rPr>
                <w:sz w:val="20"/>
                <w:szCs w:val="20"/>
              </w:rPr>
              <w:t>39.78</w:t>
            </w:r>
          </w:p>
        </w:tc>
        <w:tc>
          <w:tcPr>
            <w:tcW w:w="1050" w:type="dxa"/>
            <w:tcBorders>
              <w:top w:val="nil"/>
              <w:left w:val="nil"/>
              <w:bottom w:val="single" w:sz="4" w:space="0" w:color="auto"/>
              <w:right w:val="nil"/>
            </w:tcBorders>
            <w:shd w:val="clear" w:color="auto" w:fill="auto"/>
            <w:vAlign w:val="center"/>
          </w:tcPr>
          <w:p w:rsidR="00BD581D" w:rsidRPr="009D59B1" w:rsidRDefault="00BD581D" w:rsidP="009D59B1">
            <w:pPr>
              <w:jc w:val="both"/>
              <w:rPr>
                <w:sz w:val="20"/>
                <w:szCs w:val="20"/>
              </w:rPr>
            </w:pPr>
            <w:r w:rsidRPr="009D59B1">
              <w:rPr>
                <w:sz w:val="20"/>
                <w:szCs w:val="20"/>
              </w:rPr>
              <w:t>14.62</w:t>
            </w:r>
          </w:p>
        </w:tc>
        <w:tc>
          <w:tcPr>
            <w:tcW w:w="1050" w:type="dxa"/>
            <w:tcBorders>
              <w:top w:val="nil"/>
              <w:left w:val="nil"/>
              <w:bottom w:val="single" w:sz="4" w:space="0" w:color="auto"/>
              <w:right w:val="nil"/>
            </w:tcBorders>
            <w:shd w:val="clear" w:color="auto" w:fill="auto"/>
            <w:vAlign w:val="center"/>
          </w:tcPr>
          <w:p w:rsidR="00BD581D" w:rsidRPr="009D59B1" w:rsidRDefault="00BD581D" w:rsidP="009D59B1">
            <w:pPr>
              <w:jc w:val="both"/>
              <w:rPr>
                <w:sz w:val="20"/>
                <w:szCs w:val="20"/>
              </w:rPr>
            </w:pPr>
            <w:r w:rsidRPr="009D59B1">
              <w:rPr>
                <w:sz w:val="20"/>
                <w:szCs w:val="20"/>
              </w:rPr>
              <w:t>27</w:t>
            </w:r>
          </w:p>
        </w:tc>
        <w:tc>
          <w:tcPr>
            <w:tcW w:w="1050" w:type="dxa"/>
            <w:tcBorders>
              <w:top w:val="nil"/>
              <w:left w:val="nil"/>
              <w:bottom w:val="single" w:sz="4" w:space="0" w:color="auto"/>
              <w:right w:val="nil"/>
            </w:tcBorders>
            <w:shd w:val="clear" w:color="auto" w:fill="auto"/>
            <w:vAlign w:val="center"/>
          </w:tcPr>
          <w:p w:rsidR="00BD581D" w:rsidRPr="009D59B1" w:rsidRDefault="00BD581D" w:rsidP="009D59B1">
            <w:pPr>
              <w:jc w:val="both"/>
              <w:rPr>
                <w:sz w:val="20"/>
                <w:szCs w:val="20"/>
              </w:rPr>
            </w:pPr>
            <w:r w:rsidRPr="009D59B1">
              <w:rPr>
                <w:sz w:val="20"/>
                <w:szCs w:val="20"/>
              </w:rPr>
              <w:t>50.56</w:t>
            </w:r>
          </w:p>
        </w:tc>
        <w:tc>
          <w:tcPr>
            <w:tcW w:w="1050" w:type="dxa"/>
            <w:tcBorders>
              <w:top w:val="nil"/>
              <w:left w:val="nil"/>
              <w:bottom w:val="single" w:sz="4" w:space="0" w:color="auto"/>
              <w:right w:val="nil"/>
            </w:tcBorders>
            <w:shd w:val="clear" w:color="auto" w:fill="auto"/>
            <w:vAlign w:val="center"/>
          </w:tcPr>
          <w:p w:rsidR="00BD581D" w:rsidRPr="009D59B1" w:rsidRDefault="00BD581D" w:rsidP="009D59B1">
            <w:pPr>
              <w:jc w:val="both"/>
              <w:rPr>
                <w:sz w:val="20"/>
                <w:szCs w:val="20"/>
              </w:rPr>
            </w:pPr>
            <w:r w:rsidRPr="009D59B1">
              <w:rPr>
                <w:sz w:val="20"/>
                <w:szCs w:val="20"/>
              </w:rPr>
              <w:t>25.37</w:t>
            </w:r>
          </w:p>
        </w:tc>
      </w:tr>
    </w:tbl>
    <w:p w:rsidR="008014A0" w:rsidRDefault="008014A0" w:rsidP="008014A0">
      <w:pPr>
        <w:jc w:val="both"/>
        <w:rPr>
          <w:sz w:val="20"/>
          <w:szCs w:val="20"/>
        </w:rPr>
      </w:pPr>
    </w:p>
    <w:p w:rsidR="008014A0" w:rsidRDefault="00FC3FB6" w:rsidP="008014A0">
      <w:pPr>
        <w:jc w:val="both"/>
        <w:rPr>
          <w:sz w:val="20"/>
          <w:szCs w:val="20"/>
        </w:rPr>
      </w:pPr>
      <w:r w:rsidRPr="009D59B1">
        <w:rPr>
          <w:sz w:val="20"/>
          <w:szCs w:val="20"/>
        </w:rPr>
        <w:t>The pre-post effect size for the higher risk students (regardless of instructional condition) was (</w:t>
      </w:r>
      <w:r w:rsidRPr="009D59B1">
        <w:rPr>
          <w:i/>
          <w:sz w:val="20"/>
          <w:szCs w:val="20"/>
        </w:rPr>
        <w:t>d</w:t>
      </w:r>
      <w:r w:rsidRPr="009D59B1">
        <w:rPr>
          <w:sz w:val="20"/>
          <w:szCs w:val="20"/>
        </w:rPr>
        <w:t xml:space="preserve"> = .69) on NWF, compared to (</w:t>
      </w:r>
      <w:r w:rsidRPr="009D59B1">
        <w:rPr>
          <w:i/>
          <w:sz w:val="20"/>
          <w:szCs w:val="20"/>
        </w:rPr>
        <w:t>d</w:t>
      </w:r>
      <w:r w:rsidRPr="009D59B1">
        <w:rPr>
          <w:sz w:val="20"/>
          <w:szCs w:val="20"/>
        </w:rPr>
        <w:t xml:space="preserve"> = .26) for the lower- risk group on the same task</w:t>
      </w:r>
      <w:r w:rsidR="000B4223" w:rsidRPr="009D59B1">
        <w:rPr>
          <w:sz w:val="20"/>
          <w:szCs w:val="20"/>
        </w:rPr>
        <w:t>, suggesting much more growth</w:t>
      </w:r>
      <w:r w:rsidRPr="009D59B1">
        <w:rPr>
          <w:sz w:val="20"/>
          <w:szCs w:val="20"/>
        </w:rPr>
        <w:t>. Among the higher risk students, the MA group had the largest effect size (</w:t>
      </w:r>
      <w:r w:rsidRPr="009D59B1">
        <w:rPr>
          <w:i/>
          <w:sz w:val="20"/>
          <w:szCs w:val="20"/>
        </w:rPr>
        <w:t>d</w:t>
      </w:r>
      <w:r w:rsidRPr="009D59B1">
        <w:rPr>
          <w:sz w:val="20"/>
          <w:szCs w:val="20"/>
        </w:rPr>
        <w:t xml:space="preserve"> = 1.01) compared to SR (</w:t>
      </w:r>
      <w:r w:rsidRPr="009D59B1">
        <w:rPr>
          <w:i/>
          <w:sz w:val="20"/>
          <w:szCs w:val="20"/>
        </w:rPr>
        <w:t>d</w:t>
      </w:r>
      <w:r w:rsidR="000B4223" w:rsidRPr="009D59B1">
        <w:rPr>
          <w:sz w:val="20"/>
          <w:szCs w:val="20"/>
        </w:rPr>
        <w:t xml:space="preserve"> = .65) and</w:t>
      </w:r>
      <w:r w:rsidRPr="009D59B1">
        <w:rPr>
          <w:sz w:val="20"/>
          <w:szCs w:val="20"/>
        </w:rPr>
        <w:t xml:space="preserve"> </w:t>
      </w:r>
      <w:r w:rsidR="000B4223" w:rsidRPr="009D59B1">
        <w:rPr>
          <w:sz w:val="20"/>
          <w:szCs w:val="20"/>
        </w:rPr>
        <w:t>PAD (</w:t>
      </w:r>
      <w:r w:rsidR="000B4223" w:rsidRPr="009D59B1">
        <w:rPr>
          <w:i/>
          <w:sz w:val="20"/>
          <w:szCs w:val="20"/>
        </w:rPr>
        <w:t>d</w:t>
      </w:r>
      <w:r w:rsidR="000B4223" w:rsidRPr="009D59B1">
        <w:rPr>
          <w:sz w:val="20"/>
          <w:szCs w:val="20"/>
        </w:rPr>
        <w:t xml:space="preserve"> = .63). </w:t>
      </w:r>
      <w:r w:rsidRPr="009D59B1">
        <w:rPr>
          <w:sz w:val="20"/>
          <w:szCs w:val="20"/>
        </w:rPr>
        <w:t>In contrast, effect sizes were largest for lower risk students in the SR condition (</w:t>
      </w:r>
      <w:r w:rsidRPr="009D59B1">
        <w:rPr>
          <w:i/>
          <w:sz w:val="20"/>
          <w:szCs w:val="20"/>
        </w:rPr>
        <w:t>d</w:t>
      </w:r>
      <w:r w:rsidRPr="009D59B1">
        <w:rPr>
          <w:sz w:val="20"/>
          <w:szCs w:val="20"/>
        </w:rPr>
        <w:t xml:space="preserve"> </w:t>
      </w:r>
      <w:proofErr w:type="gramStart"/>
      <w:r w:rsidRPr="009D59B1">
        <w:rPr>
          <w:sz w:val="20"/>
          <w:szCs w:val="20"/>
        </w:rPr>
        <w:t>=  .</w:t>
      </w:r>
      <w:proofErr w:type="gramEnd"/>
      <w:r w:rsidRPr="009D59B1">
        <w:rPr>
          <w:sz w:val="20"/>
          <w:szCs w:val="20"/>
        </w:rPr>
        <w:t>47) compared to MA (</w:t>
      </w:r>
      <w:r w:rsidRPr="009D59B1">
        <w:rPr>
          <w:i/>
          <w:sz w:val="20"/>
          <w:szCs w:val="20"/>
        </w:rPr>
        <w:t>d</w:t>
      </w:r>
      <w:r w:rsidRPr="009D59B1">
        <w:rPr>
          <w:sz w:val="20"/>
          <w:szCs w:val="20"/>
        </w:rPr>
        <w:t xml:space="preserve"> =  .27) and PAD (</w:t>
      </w:r>
      <w:r w:rsidRPr="009D59B1">
        <w:rPr>
          <w:i/>
          <w:sz w:val="20"/>
          <w:szCs w:val="20"/>
        </w:rPr>
        <w:t>d</w:t>
      </w:r>
      <w:r w:rsidRPr="009D59B1">
        <w:rPr>
          <w:sz w:val="20"/>
          <w:szCs w:val="20"/>
        </w:rPr>
        <w:t xml:space="preserve"> = -.07). A </w:t>
      </w:r>
      <w:proofErr w:type="spellStart"/>
      <w:r w:rsidRPr="009D59B1">
        <w:rPr>
          <w:sz w:val="20"/>
          <w:szCs w:val="20"/>
        </w:rPr>
        <w:t>Kruskall</w:t>
      </w:r>
      <w:proofErr w:type="spellEnd"/>
      <w:r w:rsidRPr="009D59B1">
        <w:rPr>
          <w:sz w:val="20"/>
          <w:szCs w:val="20"/>
        </w:rPr>
        <w:t xml:space="preserve">-Wallis test was performed comparing mean ranks on posttest NWF by instructional condition. A non-parametric test was used because of uneven group sizes. Higher risk student group differences comparing the three instructional conditions were not statistically significant </w:t>
      </w:r>
      <w:proofErr w:type="gramStart"/>
      <w:r w:rsidRPr="009D59B1">
        <w:rPr>
          <w:sz w:val="20"/>
          <w:szCs w:val="20"/>
        </w:rPr>
        <w:t>c</w:t>
      </w:r>
      <w:r w:rsidRPr="009D59B1">
        <w:rPr>
          <w:sz w:val="20"/>
          <w:szCs w:val="20"/>
          <w:vertAlign w:val="superscript"/>
        </w:rPr>
        <w:t>2</w:t>
      </w:r>
      <w:r w:rsidRPr="009D59B1">
        <w:rPr>
          <w:sz w:val="20"/>
          <w:szCs w:val="20"/>
        </w:rPr>
        <w:t>(</w:t>
      </w:r>
      <w:proofErr w:type="gramEnd"/>
      <w:r w:rsidRPr="009D59B1">
        <w:rPr>
          <w:sz w:val="20"/>
          <w:szCs w:val="20"/>
        </w:rPr>
        <w:t xml:space="preserve">2) = 1.63, </w:t>
      </w:r>
      <w:r w:rsidRPr="009D59B1">
        <w:rPr>
          <w:i/>
          <w:sz w:val="20"/>
          <w:szCs w:val="20"/>
        </w:rPr>
        <w:t>p</w:t>
      </w:r>
      <w:r w:rsidRPr="009D59B1">
        <w:rPr>
          <w:sz w:val="20"/>
          <w:szCs w:val="20"/>
        </w:rPr>
        <w:t xml:space="preserve"> = .443 although mean rank was higher for MA (19.94) and SR (19.40) th</w:t>
      </w:r>
      <w:r w:rsidR="003974F4" w:rsidRPr="009D59B1">
        <w:rPr>
          <w:sz w:val="20"/>
          <w:szCs w:val="20"/>
        </w:rPr>
        <w:t>an for PAD (14.96). See Figure 2</w:t>
      </w:r>
      <w:r w:rsidRPr="009D59B1">
        <w:rPr>
          <w:sz w:val="20"/>
          <w:szCs w:val="20"/>
        </w:rPr>
        <w:t>.</w:t>
      </w:r>
      <w:r w:rsidR="006F35A7" w:rsidRPr="009D59B1">
        <w:rPr>
          <w:sz w:val="20"/>
          <w:szCs w:val="20"/>
        </w:rPr>
        <w:t xml:space="preserve"> </w:t>
      </w:r>
      <w:r w:rsidR="00D6658F">
        <w:rPr>
          <w:sz w:val="20"/>
          <w:szCs w:val="20"/>
        </w:rPr>
        <w:t xml:space="preserve"> </w:t>
      </w:r>
    </w:p>
    <w:p w:rsidR="00D6658F" w:rsidRDefault="00D6658F" w:rsidP="008014A0">
      <w:pPr>
        <w:jc w:val="both"/>
        <w:rPr>
          <w:sz w:val="20"/>
          <w:szCs w:val="20"/>
        </w:rPr>
      </w:pPr>
    </w:p>
    <w:p w:rsidR="00D6658F" w:rsidRDefault="00D6658F" w:rsidP="008014A0">
      <w:pPr>
        <w:jc w:val="both"/>
        <w:rPr>
          <w:sz w:val="20"/>
          <w:szCs w:val="20"/>
        </w:rPr>
        <w:sectPr w:rsidR="00D6658F" w:rsidSect="005C6AA3">
          <w:headerReference w:type="default" r:id="rId10"/>
          <w:footerReference w:type="even" r:id="rId11"/>
          <w:footerReference w:type="default" r:id="rId12"/>
          <w:pgSz w:w="11907" w:h="16839" w:code="9"/>
          <w:pgMar w:top="1440" w:right="1728" w:bottom="1440" w:left="1728" w:header="720" w:footer="345" w:gutter="0"/>
          <w:cols w:space="720"/>
          <w:docGrid w:linePitch="326"/>
        </w:sectPr>
      </w:pPr>
    </w:p>
    <w:p w:rsidR="00FC3FB6" w:rsidRPr="009D59B1" w:rsidRDefault="003C569B" w:rsidP="008014A0">
      <w:pPr>
        <w:jc w:val="center"/>
        <w:rPr>
          <w:sz w:val="20"/>
          <w:szCs w:val="20"/>
        </w:rPr>
      </w:pPr>
      <w:r>
        <w:rPr>
          <w:noProof/>
          <w:sz w:val="20"/>
          <w:szCs w:val="20"/>
        </w:rPr>
        <w:lastRenderedPageBreak/>
        <w:drawing>
          <wp:inline distT="0" distB="0" distL="0" distR="0">
            <wp:extent cx="3276600" cy="286114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3276600" cy="2861146"/>
                    </a:xfrm>
                    <a:prstGeom prst="rect">
                      <a:avLst/>
                    </a:prstGeom>
                    <a:noFill/>
                    <a:ln w="9525">
                      <a:noFill/>
                      <a:miter lim="800000"/>
                      <a:headEnd/>
                      <a:tailEnd/>
                    </a:ln>
                  </pic:spPr>
                </pic:pic>
              </a:graphicData>
            </a:graphic>
          </wp:inline>
        </w:drawing>
      </w:r>
    </w:p>
    <w:p w:rsidR="006C2ACF" w:rsidRPr="001210F2" w:rsidRDefault="003974F4" w:rsidP="00D6658F">
      <w:pPr>
        <w:jc w:val="center"/>
        <w:rPr>
          <w:b/>
          <w:sz w:val="20"/>
          <w:szCs w:val="20"/>
        </w:rPr>
      </w:pPr>
      <w:proofErr w:type="gramStart"/>
      <w:r w:rsidRPr="008014A0">
        <w:rPr>
          <w:b/>
          <w:sz w:val="20"/>
          <w:szCs w:val="20"/>
        </w:rPr>
        <w:t>Figure 2</w:t>
      </w:r>
      <w:r w:rsidR="008014A0">
        <w:rPr>
          <w:b/>
          <w:sz w:val="20"/>
          <w:szCs w:val="20"/>
        </w:rPr>
        <w:t>.</w:t>
      </w:r>
      <w:proofErr w:type="gramEnd"/>
      <w:r w:rsidR="006C2ACF" w:rsidRPr="008014A0">
        <w:rPr>
          <w:b/>
          <w:sz w:val="20"/>
          <w:szCs w:val="20"/>
        </w:rPr>
        <w:t xml:space="preserve"> </w:t>
      </w:r>
      <w:r w:rsidR="008014A0" w:rsidRPr="008014A0">
        <w:rPr>
          <w:b/>
          <w:sz w:val="20"/>
          <w:szCs w:val="20"/>
        </w:rPr>
        <w:t>Higher risk student performance on NWF by instructional condition.</w:t>
      </w:r>
    </w:p>
    <w:p w:rsidR="00D6658F" w:rsidRDefault="00D6658F" w:rsidP="00D6658F">
      <w:pPr>
        <w:rPr>
          <w:b/>
          <w:sz w:val="20"/>
          <w:szCs w:val="20"/>
        </w:rPr>
      </w:pPr>
    </w:p>
    <w:p w:rsidR="00FC3FB6" w:rsidRPr="008014A0" w:rsidRDefault="00FC3FB6" w:rsidP="009D59B1">
      <w:pPr>
        <w:jc w:val="both"/>
        <w:rPr>
          <w:b/>
          <w:sz w:val="20"/>
          <w:szCs w:val="20"/>
        </w:rPr>
      </w:pPr>
      <w:r w:rsidRPr="008014A0">
        <w:rPr>
          <w:b/>
          <w:sz w:val="20"/>
          <w:szCs w:val="20"/>
        </w:rPr>
        <w:t>Discussion</w:t>
      </w:r>
    </w:p>
    <w:p w:rsidR="00FC3FB6" w:rsidRPr="009D59B1" w:rsidRDefault="00FC3FB6" w:rsidP="008014A0">
      <w:pPr>
        <w:jc w:val="both"/>
        <w:rPr>
          <w:sz w:val="20"/>
          <w:szCs w:val="20"/>
        </w:rPr>
      </w:pPr>
      <w:r w:rsidRPr="009D59B1">
        <w:rPr>
          <w:sz w:val="20"/>
          <w:szCs w:val="20"/>
        </w:rPr>
        <w:t xml:space="preserve">The findings of this study indicate that a supplementary, explicit, intensive early literacy intervention focused on vocabulary development, PA and decoding can effect change in all three components. As </w:t>
      </w:r>
      <w:r w:rsidRPr="009D59B1">
        <w:rPr>
          <w:sz w:val="20"/>
          <w:szCs w:val="20"/>
        </w:rPr>
        <w:lastRenderedPageBreak/>
        <w:t>anticipated, students who received vocabulary-plus instruction outperformed those who did not on a measure of target word vocabulary. More interesting, students who spent only 30% of instructional time on phonological and decoding (PAD) skills and the remain 70% on vocabulary showed gains in PA, reading, and comprehension measures as great or greater than those of their peers who spent 100% of instructional time on PAD skills. Despite the lack of statistical significance, the magnitude of standardized mean differences was moderate to large for most outcome measures, suggesting that for this sample, vocabulary plus PAD instruction maximized instructional time and allowed students to make larger gains in reading skills than they would have in a PAD only intervention. Given that this study had a relatively small number of participants and unequal group sizes, these findings suggest that future research with a more powerful design is in order (see Ives, 2003 for discussion of statistical significance and effect sizes).</w:t>
      </w:r>
    </w:p>
    <w:p w:rsidR="008014A0" w:rsidRDefault="008014A0" w:rsidP="008014A0">
      <w:pPr>
        <w:jc w:val="both"/>
        <w:rPr>
          <w:sz w:val="20"/>
          <w:szCs w:val="20"/>
        </w:rPr>
      </w:pPr>
    </w:p>
    <w:p w:rsidR="00FC3FB6" w:rsidRPr="009D59B1" w:rsidRDefault="00FC3FB6" w:rsidP="008014A0">
      <w:pPr>
        <w:jc w:val="both"/>
        <w:rPr>
          <w:sz w:val="20"/>
          <w:szCs w:val="20"/>
        </w:rPr>
      </w:pPr>
      <w:r w:rsidRPr="009D59B1">
        <w:rPr>
          <w:sz w:val="20"/>
          <w:szCs w:val="20"/>
        </w:rPr>
        <w:t xml:space="preserve">The findings from this study provide additional support for the positive effect of vocabulary instruction and concomitant oral language exposure on vocabulary knowledge that has been demonstrated for EL (e.g., Carlo et al., 2004; McLaughlin et al., 2000, </w:t>
      </w:r>
      <w:proofErr w:type="spellStart"/>
      <w:r w:rsidRPr="009D59B1">
        <w:rPr>
          <w:sz w:val="20"/>
          <w:szCs w:val="20"/>
        </w:rPr>
        <w:t>Solari</w:t>
      </w:r>
      <w:proofErr w:type="spellEnd"/>
      <w:r w:rsidRPr="009D59B1">
        <w:rPr>
          <w:sz w:val="20"/>
          <w:szCs w:val="20"/>
        </w:rPr>
        <w:t xml:space="preserve"> &amp; Gerber, 2008). Findings are also consistent with research indicating that ELs who receive code-based instructional intervention make gains in PA and decoding skills (e.g., Gerber et al., 2004; </w:t>
      </w:r>
      <w:proofErr w:type="spellStart"/>
      <w:r w:rsidRPr="009D59B1">
        <w:rPr>
          <w:sz w:val="20"/>
          <w:szCs w:val="20"/>
        </w:rPr>
        <w:t>Linan</w:t>
      </w:r>
      <w:proofErr w:type="spellEnd"/>
      <w:r w:rsidRPr="009D59B1">
        <w:rPr>
          <w:sz w:val="20"/>
          <w:szCs w:val="20"/>
        </w:rPr>
        <w:t xml:space="preserve">-Thompson, Vaughn, Hickman-Davis, &amp; </w:t>
      </w:r>
      <w:proofErr w:type="spellStart"/>
      <w:r w:rsidRPr="009D59B1">
        <w:rPr>
          <w:sz w:val="20"/>
          <w:szCs w:val="20"/>
        </w:rPr>
        <w:t>Kouzekanani</w:t>
      </w:r>
      <w:proofErr w:type="spellEnd"/>
      <w:r w:rsidRPr="009D59B1">
        <w:rPr>
          <w:sz w:val="20"/>
          <w:szCs w:val="20"/>
        </w:rPr>
        <w:t>, 2003). Moreover, lowest performing students, those with a greater chance of reading difficulty compared to peers, were most likely to benefit from additional instruction</w:t>
      </w:r>
      <w:r w:rsidR="000B4223" w:rsidRPr="009D59B1">
        <w:rPr>
          <w:sz w:val="20"/>
          <w:szCs w:val="20"/>
        </w:rPr>
        <w:t>, particularly in the MA condition</w:t>
      </w:r>
      <w:r w:rsidRPr="009D59B1">
        <w:rPr>
          <w:sz w:val="20"/>
          <w:szCs w:val="20"/>
        </w:rPr>
        <w:t xml:space="preserve">. </w:t>
      </w:r>
    </w:p>
    <w:p w:rsidR="008014A0" w:rsidRDefault="008014A0" w:rsidP="009D59B1">
      <w:pPr>
        <w:jc w:val="both"/>
        <w:rPr>
          <w:i/>
          <w:sz w:val="20"/>
          <w:szCs w:val="20"/>
        </w:rPr>
      </w:pPr>
    </w:p>
    <w:p w:rsidR="00FC3FB6" w:rsidRPr="009D59B1" w:rsidRDefault="00FC3FB6" w:rsidP="009D59B1">
      <w:pPr>
        <w:jc w:val="both"/>
        <w:rPr>
          <w:i/>
          <w:sz w:val="20"/>
          <w:szCs w:val="20"/>
        </w:rPr>
      </w:pPr>
      <w:r w:rsidRPr="009D59B1">
        <w:rPr>
          <w:i/>
          <w:sz w:val="20"/>
          <w:szCs w:val="20"/>
        </w:rPr>
        <w:t>PAD Performance as Measure of Efficiency</w:t>
      </w:r>
    </w:p>
    <w:p w:rsidR="00FC3FB6" w:rsidRPr="009D59B1" w:rsidRDefault="00FC3FB6" w:rsidP="008014A0">
      <w:pPr>
        <w:jc w:val="both"/>
        <w:rPr>
          <w:sz w:val="20"/>
          <w:szCs w:val="20"/>
        </w:rPr>
      </w:pPr>
      <w:r w:rsidRPr="009D59B1">
        <w:rPr>
          <w:sz w:val="20"/>
          <w:szCs w:val="20"/>
        </w:rPr>
        <w:t xml:space="preserve">This study </w:t>
      </w:r>
      <w:r w:rsidR="002451E0" w:rsidRPr="009D59B1">
        <w:rPr>
          <w:sz w:val="20"/>
          <w:szCs w:val="20"/>
        </w:rPr>
        <w:t>implemented</w:t>
      </w:r>
      <w:r w:rsidRPr="009D59B1">
        <w:rPr>
          <w:sz w:val="20"/>
          <w:szCs w:val="20"/>
        </w:rPr>
        <w:t xml:space="preserve"> previously validated instr</w:t>
      </w:r>
      <w:r w:rsidR="002451E0" w:rsidRPr="009D59B1">
        <w:rPr>
          <w:sz w:val="20"/>
          <w:szCs w:val="20"/>
        </w:rPr>
        <w:t>uctional interventions that use</w:t>
      </w:r>
      <w:r w:rsidRPr="009D59B1">
        <w:rPr>
          <w:sz w:val="20"/>
          <w:szCs w:val="20"/>
        </w:rPr>
        <w:t xml:space="preserve"> the CIM to teach phonological awareness and decoding, but added a vocabulary component within the same amount of instructional time. Thus, performance on PA and decoding is perhaps the most fundamental measure of </w:t>
      </w:r>
      <w:r w:rsidRPr="009D59B1">
        <w:rPr>
          <w:i/>
          <w:sz w:val="20"/>
          <w:szCs w:val="20"/>
        </w:rPr>
        <w:t>efficiency</w:t>
      </w:r>
      <w:r w:rsidRPr="009D59B1">
        <w:rPr>
          <w:sz w:val="20"/>
          <w:szCs w:val="20"/>
        </w:rPr>
        <w:t xml:space="preserve"> in this study. Therefore</w:t>
      </w:r>
      <w:r w:rsidR="00C415A7" w:rsidRPr="009D59B1">
        <w:rPr>
          <w:sz w:val="20"/>
          <w:szCs w:val="20"/>
        </w:rPr>
        <w:t xml:space="preserve">, to claim that the </w:t>
      </w:r>
      <w:proofErr w:type="spellStart"/>
      <w:r w:rsidR="00C415A7" w:rsidRPr="009D59B1">
        <w:rPr>
          <w:sz w:val="20"/>
          <w:szCs w:val="20"/>
        </w:rPr>
        <w:t>vocab</w:t>
      </w:r>
      <w:proofErr w:type="spellEnd"/>
      <w:r w:rsidR="00C415A7" w:rsidRPr="009D59B1">
        <w:rPr>
          <w:sz w:val="20"/>
          <w:szCs w:val="20"/>
        </w:rPr>
        <w:t xml:space="preserve">+ model is an </w:t>
      </w:r>
      <w:r w:rsidR="00A3148C" w:rsidRPr="009D59B1">
        <w:rPr>
          <w:sz w:val="20"/>
          <w:szCs w:val="20"/>
        </w:rPr>
        <w:t>efficient use of classroom time</w:t>
      </w:r>
      <w:r w:rsidR="00C415A7" w:rsidRPr="009D59B1">
        <w:rPr>
          <w:sz w:val="20"/>
          <w:szCs w:val="20"/>
        </w:rPr>
        <w:t xml:space="preserve"> </w:t>
      </w:r>
      <w:r w:rsidRPr="009D59B1">
        <w:rPr>
          <w:sz w:val="20"/>
          <w:szCs w:val="20"/>
        </w:rPr>
        <w:t xml:space="preserve">the vocabulary-added instructional conditions </w:t>
      </w:r>
      <w:r w:rsidR="00C415A7" w:rsidRPr="009D59B1">
        <w:rPr>
          <w:sz w:val="20"/>
          <w:szCs w:val="20"/>
        </w:rPr>
        <w:t xml:space="preserve">needed to demonstrate </w:t>
      </w:r>
      <w:r w:rsidRPr="009D59B1">
        <w:rPr>
          <w:sz w:val="20"/>
          <w:szCs w:val="20"/>
        </w:rPr>
        <w:t>gain</w:t>
      </w:r>
      <w:r w:rsidR="00C415A7" w:rsidRPr="009D59B1">
        <w:rPr>
          <w:sz w:val="20"/>
          <w:szCs w:val="20"/>
        </w:rPr>
        <w:t xml:space="preserve">s on a measure of PA that were comparable to </w:t>
      </w:r>
      <w:r w:rsidR="002451E0" w:rsidRPr="009D59B1">
        <w:rPr>
          <w:sz w:val="20"/>
          <w:szCs w:val="20"/>
        </w:rPr>
        <w:t xml:space="preserve">those of </w:t>
      </w:r>
      <w:r w:rsidR="00C415A7" w:rsidRPr="009D59B1">
        <w:rPr>
          <w:sz w:val="20"/>
          <w:szCs w:val="20"/>
        </w:rPr>
        <w:t xml:space="preserve">the PAD only group. </w:t>
      </w:r>
    </w:p>
    <w:p w:rsidR="008014A0" w:rsidRDefault="008014A0" w:rsidP="008014A0">
      <w:pPr>
        <w:jc w:val="both"/>
        <w:rPr>
          <w:sz w:val="20"/>
          <w:szCs w:val="20"/>
        </w:rPr>
      </w:pPr>
    </w:p>
    <w:p w:rsidR="00FC3FB6" w:rsidRPr="009D59B1" w:rsidRDefault="00FC3FB6" w:rsidP="008014A0">
      <w:pPr>
        <w:jc w:val="both"/>
        <w:rPr>
          <w:strike/>
          <w:sz w:val="20"/>
          <w:szCs w:val="20"/>
        </w:rPr>
      </w:pPr>
      <w:r w:rsidRPr="009D59B1">
        <w:rPr>
          <w:sz w:val="20"/>
          <w:szCs w:val="20"/>
        </w:rPr>
        <w:t xml:space="preserve">The findings support this conclusion, that is, all groups showed statistically reliable growth on the nonsense word fluency (NWF) from pretest to posttest, and students in the PAD-Plus group demonstrated greater average growth on the VOC measure. Furthermore, standardized mean differences (Cohen’s </w:t>
      </w:r>
      <w:r w:rsidRPr="009D59B1">
        <w:rPr>
          <w:i/>
          <w:sz w:val="20"/>
          <w:szCs w:val="20"/>
        </w:rPr>
        <w:t>d</w:t>
      </w:r>
      <w:r w:rsidRPr="009D59B1">
        <w:rPr>
          <w:sz w:val="20"/>
          <w:szCs w:val="20"/>
        </w:rPr>
        <w:t xml:space="preserve"> adjusted) on NWF were greater for the two vocabulary groups than for the PAD group, with the largest gain in the SR group. </w:t>
      </w:r>
      <w:r w:rsidR="002451E0" w:rsidRPr="009D59B1">
        <w:rPr>
          <w:sz w:val="20"/>
          <w:szCs w:val="20"/>
        </w:rPr>
        <w:t>Also,</w:t>
      </w:r>
      <w:r w:rsidR="000B4223" w:rsidRPr="009D59B1">
        <w:rPr>
          <w:sz w:val="20"/>
          <w:szCs w:val="20"/>
        </w:rPr>
        <w:t xml:space="preserve"> initially low-performing students demonstrated the most growth in the vocabulary conditions, especially </w:t>
      </w:r>
      <w:proofErr w:type="spellStart"/>
      <w:r w:rsidR="000B4223" w:rsidRPr="009D59B1">
        <w:rPr>
          <w:sz w:val="20"/>
          <w:szCs w:val="20"/>
        </w:rPr>
        <w:t>vocab</w:t>
      </w:r>
      <w:proofErr w:type="spellEnd"/>
      <w:r w:rsidR="000B4223" w:rsidRPr="009D59B1">
        <w:rPr>
          <w:sz w:val="20"/>
          <w:szCs w:val="20"/>
        </w:rPr>
        <w:t>+ MA.</w:t>
      </w:r>
    </w:p>
    <w:p w:rsidR="008014A0" w:rsidRDefault="008014A0" w:rsidP="008014A0">
      <w:pPr>
        <w:jc w:val="both"/>
        <w:rPr>
          <w:sz w:val="20"/>
          <w:szCs w:val="20"/>
        </w:rPr>
      </w:pPr>
    </w:p>
    <w:p w:rsidR="00FC3FB6" w:rsidRPr="009D59B1" w:rsidRDefault="000B4223" w:rsidP="008014A0">
      <w:pPr>
        <w:jc w:val="both"/>
        <w:rPr>
          <w:sz w:val="20"/>
          <w:szCs w:val="20"/>
        </w:rPr>
      </w:pPr>
      <w:r w:rsidRPr="009D59B1">
        <w:rPr>
          <w:sz w:val="20"/>
          <w:szCs w:val="20"/>
        </w:rPr>
        <w:t>W</w:t>
      </w:r>
      <w:r w:rsidR="00FC3FB6" w:rsidRPr="009D59B1">
        <w:rPr>
          <w:sz w:val="20"/>
          <w:szCs w:val="20"/>
        </w:rPr>
        <w:t xml:space="preserve">hen considering gains on NWF per instructional minute spent on PA and decoding skills, effects were more robust for the vocabulary-added conditions. On average, students received 394 minutes of instruction. For the PAD group, all of these minutes were by definition spent on PA and decoding instruction. For the SR and MA group, 30% of those minutes (118 minutes) were spent on these skills. The average gain on NWF per instructional minute for the PAD group after removing an outlier was .02 points, compared to .12 for SR and .09 for MA.  </w:t>
      </w:r>
    </w:p>
    <w:p w:rsidR="008014A0" w:rsidRDefault="008014A0" w:rsidP="009D59B1">
      <w:pPr>
        <w:jc w:val="both"/>
        <w:rPr>
          <w:i/>
          <w:sz w:val="20"/>
          <w:szCs w:val="20"/>
        </w:rPr>
      </w:pPr>
    </w:p>
    <w:p w:rsidR="00FC3FB6" w:rsidRPr="009D59B1" w:rsidRDefault="00FC3FB6" w:rsidP="009D59B1">
      <w:pPr>
        <w:jc w:val="both"/>
        <w:rPr>
          <w:i/>
          <w:sz w:val="20"/>
          <w:szCs w:val="20"/>
        </w:rPr>
      </w:pPr>
      <w:r w:rsidRPr="009D59B1">
        <w:rPr>
          <w:i/>
          <w:sz w:val="20"/>
          <w:szCs w:val="20"/>
        </w:rPr>
        <w:t xml:space="preserve">Implications of Findings for Practice </w:t>
      </w:r>
    </w:p>
    <w:p w:rsidR="00FC3FB6" w:rsidRPr="009D59B1" w:rsidRDefault="0011454E" w:rsidP="008014A0">
      <w:pPr>
        <w:jc w:val="both"/>
        <w:rPr>
          <w:sz w:val="20"/>
          <w:szCs w:val="20"/>
        </w:rPr>
      </w:pPr>
      <w:r w:rsidRPr="009D59B1">
        <w:rPr>
          <w:sz w:val="20"/>
          <w:szCs w:val="20"/>
        </w:rPr>
        <w:t xml:space="preserve">In the current study of a low SES primarily EL sample, even the initially lowest performing students demonstrated growth on vocabulary and on phonological decoding. </w:t>
      </w:r>
      <w:r w:rsidR="00FC3FB6" w:rsidRPr="009D59B1">
        <w:rPr>
          <w:sz w:val="20"/>
          <w:szCs w:val="20"/>
        </w:rPr>
        <w:t xml:space="preserve">We know that instruction in PA and phonics is necessary for struggling readers to make gains in word reading and reading fluency, but we also know that it is not sufficient to facilitate reading comprehension (see </w:t>
      </w:r>
      <w:proofErr w:type="spellStart"/>
      <w:r w:rsidR="00FC3FB6" w:rsidRPr="009D59B1">
        <w:rPr>
          <w:sz w:val="20"/>
          <w:szCs w:val="20"/>
        </w:rPr>
        <w:t>Catts</w:t>
      </w:r>
      <w:proofErr w:type="spellEnd"/>
      <w:r w:rsidR="00FC3FB6" w:rsidRPr="009D59B1">
        <w:rPr>
          <w:sz w:val="20"/>
          <w:szCs w:val="20"/>
        </w:rPr>
        <w:t xml:space="preserve">, 2009). </w:t>
      </w:r>
      <w:r w:rsidR="00036321" w:rsidRPr="009D59B1">
        <w:rPr>
          <w:sz w:val="20"/>
          <w:szCs w:val="20"/>
        </w:rPr>
        <w:t>This work demonstrates initial support for t</w:t>
      </w:r>
      <w:r w:rsidR="00FC3FB6" w:rsidRPr="009D59B1">
        <w:rPr>
          <w:sz w:val="20"/>
          <w:szCs w:val="20"/>
        </w:rPr>
        <w:t xml:space="preserve">eaching </w:t>
      </w:r>
      <w:r w:rsidR="00036321" w:rsidRPr="009D59B1">
        <w:rPr>
          <w:sz w:val="20"/>
          <w:szCs w:val="20"/>
        </w:rPr>
        <w:t xml:space="preserve">vocabulary </w:t>
      </w:r>
      <w:r w:rsidR="00FC3FB6" w:rsidRPr="009D59B1">
        <w:rPr>
          <w:sz w:val="20"/>
          <w:szCs w:val="20"/>
        </w:rPr>
        <w:t xml:space="preserve">skills side by side with PA and decoding </w:t>
      </w:r>
      <w:r w:rsidR="00FC3FB6" w:rsidRPr="009D59B1">
        <w:rPr>
          <w:sz w:val="20"/>
          <w:szCs w:val="20"/>
          <w:u w:val="single"/>
        </w:rPr>
        <w:t>before</w:t>
      </w:r>
      <w:r w:rsidR="00FC3FB6" w:rsidRPr="009D59B1">
        <w:rPr>
          <w:sz w:val="20"/>
          <w:szCs w:val="20"/>
        </w:rPr>
        <w:t xml:space="preserve"> students struggle with comprehension is a promising practice</w:t>
      </w:r>
      <w:r w:rsidR="00036321" w:rsidRPr="009D59B1">
        <w:rPr>
          <w:sz w:val="20"/>
          <w:szCs w:val="20"/>
        </w:rPr>
        <w:t xml:space="preserve"> for at risk readers</w:t>
      </w:r>
      <w:r w:rsidR="00FC3FB6" w:rsidRPr="009D59B1">
        <w:rPr>
          <w:sz w:val="20"/>
          <w:szCs w:val="20"/>
        </w:rPr>
        <w:t xml:space="preserve">. Furthermore, in the </w:t>
      </w:r>
      <w:proofErr w:type="spellStart"/>
      <w:r w:rsidR="00FC3FB6" w:rsidRPr="009D59B1">
        <w:rPr>
          <w:sz w:val="20"/>
          <w:szCs w:val="20"/>
        </w:rPr>
        <w:t>Vocab</w:t>
      </w:r>
      <w:proofErr w:type="spellEnd"/>
      <w:r w:rsidR="00FC3FB6" w:rsidRPr="009D59B1">
        <w:rPr>
          <w:sz w:val="20"/>
          <w:szCs w:val="20"/>
        </w:rPr>
        <w:t>+ treatment conditions initial performance was less predictive of responsiveness than in the PAD condition</w:t>
      </w:r>
      <w:r w:rsidR="000B4223" w:rsidRPr="009D59B1">
        <w:rPr>
          <w:sz w:val="20"/>
          <w:szCs w:val="20"/>
        </w:rPr>
        <w:t>, indicating</w:t>
      </w:r>
      <w:r w:rsidR="00AB5844" w:rsidRPr="009D59B1">
        <w:rPr>
          <w:sz w:val="20"/>
          <w:szCs w:val="20"/>
        </w:rPr>
        <w:t xml:space="preserve"> </w:t>
      </w:r>
      <w:r w:rsidR="00FC3FB6" w:rsidRPr="009D59B1">
        <w:rPr>
          <w:sz w:val="20"/>
          <w:szCs w:val="20"/>
        </w:rPr>
        <w:t xml:space="preserve">that the vocabulary-added instruction improved, to a small degree, the trajectory of those of the most at- risk students. That is, students who are extremely low performing on word-level tasks not only benefit from higher order skill development, but may benefit even more than their higher performing peers. </w:t>
      </w:r>
    </w:p>
    <w:p w:rsidR="00D6658F" w:rsidRDefault="00D6658F" w:rsidP="009D59B1">
      <w:pPr>
        <w:jc w:val="both"/>
        <w:rPr>
          <w:i/>
          <w:sz w:val="20"/>
          <w:szCs w:val="20"/>
        </w:rPr>
      </w:pPr>
    </w:p>
    <w:p w:rsidR="00FC3FB6" w:rsidRPr="009D59B1" w:rsidRDefault="00FC3FB6" w:rsidP="009D59B1">
      <w:pPr>
        <w:jc w:val="both"/>
        <w:rPr>
          <w:sz w:val="20"/>
          <w:szCs w:val="20"/>
        </w:rPr>
      </w:pPr>
      <w:r w:rsidRPr="009D59B1">
        <w:rPr>
          <w:i/>
          <w:sz w:val="20"/>
          <w:szCs w:val="20"/>
        </w:rPr>
        <w:t>Limitations and Future Research</w:t>
      </w:r>
    </w:p>
    <w:p w:rsidR="00FC3FB6" w:rsidRPr="009D59B1" w:rsidRDefault="00FC3FB6" w:rsidP="009D59B1">
      <w:pPr>
        <w:jc w:val="both"/>
        <w:rPr>
          <w:sz w:val="20"/>
          <w:szCs w:val="20"/>
        </w:rPr>
      </w:pPr>
      <w:r w:rsidRPr="009D59B1">
        <w:rPr>
          <w:sz w:val="20"/>
          <w:szCs w:val="20"/>
        </w:rPr>
        <w:t xml:space="preserve">This study points to integrating higher order language skills with direct instruction in word-level skills as a promising practice for first graders </w:t>
      </w:r>
      <w:r w:rsidR="00AB5844" w:rsidRPr="009D59B1">
        <w:rPr>
          <w:sz w:val="20"/>
          <w:szCs w:val="20"/>
        </w:rPr>
        <w:t>deemed at risk due to their individual or school factors</w:t>
      </w:r>
      <w:r w:rsidRPr="009D59B1">
        <w:rPr>
          <w:sz w:val="20"/>
          <w:szCs w:val="20"/>
        </w:rPr>
        <w:t xml:space="preserve">. Moreover, future research should continue to explore the effects of vocabulary plus PAD intervention for the lowest </w:t>
      </w:r>
      <w:r w:rsidRPr="009D59B1">
        <w:rPr>
          <w:sz w:val="20"/>
          <w:szCs w:val="20"/>
        </w:rPr>
        <w:lastRenderedPageBreak/>
        <w:t>performers</w:t>
      </w:r>
      <w:r w:rsidR="000B4223" w:rsidRPr="009D59B1">
        <w:rPr>
          <w:sz w:val="20"/>
          <w:szCs w:val="20"/>
        </w:rPr>
        <w:t xml:space="preserve"> in particular</w:t>
      </w:r>
      <w:r w:rsidRPr="009D59B1">
        <w:rPr>
          <w:sz w:val="20"/>
          <w:szCs w:val="20"/>
        </w:rPr>
        <w:t xml:space="preserve">. Findings in this study should be interpreted with caution, and used primarily as guidance toward future research due to lack of statistically reliable findings. Sample size and variance within the sample, including changes in variance between time points, may have led to statistically non-significant findings despite substantive mean differences in several cases. Specifically, because of attrition of one class, the control group was reduced from approximately 36 students to 18. </w:t>
      </w:r>
      <w:r w:rsidR="00AB5844" w:rsidRPr="009D59B1">
        <w:rPr>
          <w:sz w:val="20"/>
          <w:szCs w:val="20"/>
        </w:rPr>
        <w:t xml:space="preserve">The </w:t>
      </w:r>
      <w:r w:rsidRPr="009D59B1">
        <w:rPr>
          <w:sz w:val="20"/>
          <w:szCs w:val="20"/>
        </w:rPr>
        <w:t xml:space="preserve">uneven cell sizes may have contributed to ambiguity in the results. </w:t>
      </w:r>
    </w:p>
    <w:p w:rsidR="008014A0" w:rsidRDefault="008014A0" w:rsidP="008014A0">
      <w:pPr>
        <w:jc w:val="both"/>
        <w:rPr>
          <w:sz w:val="20"/>
          <w:szCs w:val="20"/>
        </w:rPr>
      </w:pPr>
    </w:p>
    <w:p w:rsidR="00FC3FB6" w:rsidRPr="009D59B1" w:rsidRDefault="00FC3FB6" w:rsidP="008014A0">
      <w:pPr>
        <w:jc w:val="both"/>
        <w:rPr>
          <w:sz w:val="20"/>
          <w:szCs w:val="20"/>
        </w:rPr>
      </w:pPr>
      <w:r w:rsidRPr="009D59B1">
        <w:rPr>
          <w:sz w:val="20"/>
          <w:szCs w:val="20"/>
        </w:rPr>
        <w:t>In addition,</w:t>
      </w:r>
      <w:r w:rsidRPr="009D59B1">
        <w:rPr>
          <w:i/>
          <w:sz w:val="20"/>
          <w:szCs w:val="20"/>
        </w:rPr>
        <w:t xml:space="preserve"> </w:t>
      </w:r>
      <w:r w:rsidRPr="009D59B1">
        <w:rPr>
          <w:sz w:val="20"/>
          <w:szCs w:val="20"/>
        </w:rPr>
        <w:t xml:space="preserve">although classrooms were randomly assigned to treatment-control or treatment conditions, teacher effects may have influenced outcomes. Another issue is that perhaps the method of instruction (i.e., Core Intervention Model) was the most powerful component and it overwhelmed effects related to specific content being taught. All instructors were heavily coached throughout the eight weeks on the (CIM) behaviors, in particular with direct instruction and the staircase model of correction. Finally, the separation of SR and MA conditions was artificial, and in future work could be abandoned for a more cohesive model. </w:t>
      </w:r>
    </w:p>
    <w:p w:rsidR="008014A0" w:rsidRDefault="008014A0" w:rsidP="009D59B1">
      <w:pPr>
        <w:jc w:val="both"/>
        <w:rPr>
          <w:i/>
          <w:sz w:val="20"/>
          <w:szCs w:val="20"/>
        </w:rPr>
      </w:pPr>
    </w:p>
    <w:p w:rsidR="00FC3FB6" w:rsidRPr="009D59B1" w:rsidRDefault="00FC3FB6" w:rsidP="009D59B1">
      <w:pPr>
        <w:jc w:val="both"/>
        <w:rPr>
          <w:i/>
          <w:sz w:val="20"/>
          <w:szCs w:val="20"/>
        </w:rPr>
      </w:pPr>
      <w:r w:rsidRPr="009D59B1">
        <w:rPr>
          <w:i/>
          <w:sz w:val="20"/>
          <w:szCs w:val="20"/>
        </w:rPr>
        <w:t>Future Research</w:t>
      </w:r>
    </w:p>
    <w:p w:rsidR="00FC3FB6" w:rsidRPr="009D59B1" w:rsidRDefault="00FC3FB6" w:rsidP="009D59B1">
      <w:pPr>
        <w:jc w:val="both"/>
        <w:rPr>
          <w:sz w:val="20"/>
          <w:szCs w:val="20"/>
        </w:rPr>
      </w:pPr>
      <w:r w:rsidRPr="009D59B1">
        <w:rPr>
          <w:sz w:val="20"/>
          <w:szCs w:val="20"/>
        </w:rPr>
        <w:t>The notion of instructional efficiency has been threaded t</w:t>
      </w:r>
      <w:r w:rsidR="000B4223" w:rsidRPr="009D59B1">
        <w:rPr>
          <w:sz w:val="20"/>
          <w:szCs w:val="20"/>
        </w:rPr>
        <w:t>hroughout this discussion, and we</w:t>
      </w:r>
      <w:r w:rsidRPr="009D59B1">
        <w:rPr>
          <w:sz w:val="20"/>
          <w:szCs w:val="20"/>
        </w:rPr>
        <w:t xml:space="preserve"> argue that it is of paramount importance for children in schools with low resources and high needs, such as the participating school in this study. Teachers have limited time to provide the additional instruction many students need to become effective readers, finding an efficient method of delivering instruction that can effect change in PA, decoding and vocabulary has the potential to greatly impact students’ reading abilities.  Given the large effect sizes but low reliability of findings in this study, future research with larger sample sizes is clearly needed to measure the efficacy of the vocabulary-added instruction. In addition, more direct measures of efficiency, such as the ratio of time on task to growth in vocabulary, will be necessary to clarify the impact on efficiency as well as efficacy.</w:t>
      </w:r>
    </w:p>
    <w:p w:rsidR="008014A0" w:rsidRDefault="008014A0" w:rsidP="009D59B1">
      <w:pPr>
        <w:ind w:left="720" w:hanging="720"/>
        <w:jc w:val="both"/>
        <w:rPr>
          <w:sz w:val="20"/>
          <w:szCs w:val="20"/>
        </w:rPr>
      </w:pPr>
    </w:p>
    <w:p w:rsidR="00FC3FB6" w:rsidRPr="008014A0" w:rsidRDefault="00FC3FB6" w:rsidP="008014A0">
      <w:pPr>
        <w:ind w:left="720" w:hanging="720"/>
        <w:jc w:val="both"/>
        <w:rPr>
          <w:b/>
          <w:sz w:val="20"/>
          <w:szCs w:val="20"/>
        </w:rPr>
      </w:pPr>
      <w:r w:rsidRPr="008014A0">
        <w:rPr>
          <w:b/>
          <w:sz w:val="20"/>
          <w:szCs w:val="20"/>
        </w:rPr>
        <w:t>References</w:t>
      </w:r>
    </w:p>
    <w:p w:rsidR="00FC3FB6" w:rsidRPr="009D59B1" w:rsidRDefault="00FC3FB6" w:rsidP="008014A0">
      <w:pPr>
        <w:jc w:val="both"/>
        <w:rPr>
          <w:sz w:val="20"/>
          <w:szCs w:val="20"/>
        </w:rPr>
      </w:pPr>
      <w:proofErr w:type="gramStart"/>
      <w:r w:rsidRPr="009D59B1">
        <w:rPr>
          <w:sz w:val="20"/>
          <w:szCs w:val="20"/>
        </w:rPr>
        <w:t xml:space="preserve">Baker, S. K., Simmons, D. C., &amp; </w:t>
      </w:r>
      <w:proofErr w:type="spellStart"/>
      <w:r w:rsidRPr="009D59B1">
        <w:rPr>
          <w:sz w:val="20"/>
          <w:szCs w:val="20"/>
        </w:rPr>
        <w:t>Kame'enui</w:t>
      </w:r>
      <w:proofErr w:type="spellEnd"/>
      <w:r w:rsidRPr="009D59B1">
        <w:rPr>
          <w:sz w:val="20"/>
          <w:szCs w:val="20"/>
        </w:rPr>
        <w:t>, E. J. (1998).</w:t>
      </w:r>
      <w:proofErr w:type="gramEnd"/>
      <w:r w:rsidRPr="009D59B1">
        <w:rPr>
          <w:sz w:val="20"/>
          <w:szCs w:val="20"/>
        </w:rPr>
        <w:t xml:space="preserve"> Vocabulary acquisition: Research bases. In D. C. Simmons &amp; E. J. </w:t>
      </w:r>
      <w:proofErr w:type="spellStart"/>
      <w:r w:rsidRPr="009D59B1">
        <w:rPr>
          <w:sz w:val="20"/>
          <w:szCs w:val="20"/>
        </w:rPr>
        <w:t>Kame'enui</w:t>
      </w:r>
      <w:proofErr w:type="spellEnd"/>
      <w:r w:rsidRPr="009D59B1">
        <w:rPr>
          <w:sz w:val="20"/>
          <w:szCs w:val="20"/>
        </w:rPr>
        <w:t xml:space="preserve"> (Eds.), </w:t>
      </w:r>
      <w:proofErr w:type="gramStart"/>
      <w:r w:rsidRPr="009D59B1">
        <w:rPr>
          <w:i/>
          <w:sz w:val="20"/>
          <w:szCs w:val="20"/>
        </w:rPr>
        <w:t>What</w:t>
      </w:r>
      <w:proofErr w:type="gramEnd"/>
      <w:r w:rsidRPr="009D59B1">
        <w:rPr>
          <w:i/>
          <w:sz w:val="20"/>
          <w:szCs w:val="20"/>
        </w:rPr>
        <w:t xml:space="preserve"> reading research tells us about children with diverse learning needs: Bases and basics</w:t>
      </w:r>
      <w:r w:rsidRPr="009D59B1">
        <w:rPr>
          <w:sz w:val="20"/>
          <w:szCs w:val="20"/>
        </w:rPr>
        <w:t>. Mahwah, NJ: Erlbaum.</w:t>
      </w:r>
    </w:p>
    <w:p w:rsidR="00FC3FB6" w:rsidRPr="009D59B1" w:rsidRDefault="00FC3FB6" w:rsidP="008014A0">
      <w:pPr>
        <w:jc w:val="both"/>
        <w:rPr>
          <w:sz w:val="20"/>
          <w:szCs w:val="20"/>
        </w:rPr>
      </w:pPr>
      <w:proofErr w:type="gramStart"/>
      <w:r w:rsidRPr="009D59B1">
        <w:rPr>
          <w:sz w:val="20"/>
          <w:szCs w:val="20"/>
        </w:rPr>
        <w:t xml:space="preserve">Baker, S. K., Simmons, D. C., &amp; </w:t>
      </w:r>
      <w:proofErr w:type="spellStart"/>
      <w:r w:rsidRPr="009D59B1">
        <w:rPr>
          <w:sz w:val="20"/>
          <w:szCs w:val="20"/>
        </w:rPr>
        <w:t>Kame’enui</w:t>
      </w:r>
      <w:proofErr w:type="spellEnd"/>
      <w:r w:rsidRPr="009D59B1">
        <w:rPr>
          <w:sz w:val="20"/>
          <w:szCs w:val="20"/>
        </w:rPr>
        <w:t>, E. J. (1995).</w:t>
      </w:r>
      <w:proofErr w:type="gramEnd"/>
      <w:r w:rsidRPr="009D59B1">
        <w:rPr>
          <w:sz w:val="20"/>
          <w:szCs w:val="20"/>
        </w:rPr>
        <w:t xml:space="preserve"> </w:t>
      </w:r>
      <w:r w:rsidRPr="009D59B1">
        <w:rPr>
          <w:i/>
          <w:sz w:val="20"/>
          <w:szCs w:val="20"/>
        </w:rPr>
        <w:t>Vocabulary Acquisition: Synthesis of the Research</w:t>
      </w:r>
      <w:r w:rsidRPr="009D59B1">
        <w:rPr>
          <w:sz w:val="20"/>
          <w:szCs w:val="20"/>
        </w:rPr>
        <w:t xml:space="preserve">. </w:t>
      </w:r>
      <w:proofErr w:type="gramStart"/>
      <w:r w:rsidRPr="009D59B1">
        <w:rPr>
          <w:sz w:val="20"/>
          <w:szCs w:val="20"/>
        </w:rPr>
        <w:t>Retrieved.</w:t>
      </w:r>
      <w:proofErr w:type="gramEnd"/>
      <w:r w:rsidRPr="009D59B1">
        <w:rPr>
          <w:sz w:val="20"/>
          <w:szCs w:val="20"/>
        </w:rPr>
        <w:t xml:space="preserve"> </w:t>
      </w:r>
      <w:proofErr w:type="gramStart"/>
      <w:r w:rsidRPr="009D59B1">
        <w:rPr>
          <w:sz w:val="20"/>
          <w:szCs w:val="20"/>
        </w:rPr>
        <w:t>from</w:t>
      </w:r>
      <w:proofErr w:type="gramEnd"/>
      <w:r w:rsidRPr="009D59B1">
        <w:rPr>
          <w:sz w:val="20"/>
          <w:szCs w:val="20"/>
        </w:rPr>
        <w:t xml:space="preserve"> </w:t>
      </w:r>
      <w:r w:rsidRPr="00A366B5">
        <w:rPr>
          <w:sz w:val="20"/>
          <w:szCs w:val="20"/>
        </w:rPr>
        <w:t>http://idea.uoregon.edu:16080/~ncite/documents/techrep/tech13.html.</w:t>
      </w:r>
    </w:p>
    <w:p w:rsidR="00FC3FB6" w:rsidRPr="009D59B1" w:rsidRDefault="00FC3FB6" w:rsidP="008014A0">
      <w:pPr>
        <w:jc w:val="both"/>
        <w:rPr>
          <w:sz w:val="20"/>
          <w:szCs w:val="20"/>
        </w:rPr>
      </w:pPr>
      <w:proofErr w:type="gramStart"/>
      <w:r w:rsidRPr="009D59B1">
        <w:rPr>
          <w:sz w:val="20"/>
          <w:szCs w:val="20"/>
        </w:rPr>
        <w:t xml:space="preserve">Beck, I. L., &amp; </w:t>
      </w:r>
      <w:proofErr w:type="spellStart"/>
      <w:r w:rsidRPr="009D59B1">
        <w:rPr>
          <w:sz w:val="20"/>
          <w:szCs w:val="20"/>
        </w:rPr>
        <w:t>McKeown</w:t>
      </w:r>
      <w:proofErr w:type="spellEnd"/>
      <w:r w:rsidRPr="009D59B1">
        <w:rPr>
          <w:sz w:val="20"/>
          <w:szCs w:val="20"/>
        </w:rPr>
        <w:t>, M. (1991).</w:t>
      </w:r>
      <w:proofErr w:type="gramEnd"/>
      <w:r w:rsidRPr="009D59B1">
        <w:rPr>
          <w:sz w:val="20"/>
          <w:szCs w:val="20"/>
        </w:rPr>
        <w:t xml:space="preserve"> </w:t>
      </w:r>
      <w:proofErr w:type="gramStart"/>
      <w:r w:rsidRPr="009D59B1">
        <w:rPr>
          <w:sz w:val="20"/>
          <w:szCs w:val="20"/>
        </w:rPr>
        <w:t>Conditions of vocabulary acquisition.</w:t>
      </w:r>
      <w:proofErr w:type="gramEnd"/>
      <w:r w:rsidRPr="009D59B1">
        <w:rPr>
          <w:sz w:val="20"/>
          <w:szCs w:val="20"/>
        </w:rPr>
        <w:t xml:space="preserve"> In R. Barr, M. L. </w:t>
      </w:r>
      <w:proofErr w:type="spellStart"/>
      <w:r w:rsidRPr="009D59B1">
        <w:rPr>
          <w:sz w:val="20"/>
          <w:szCs w:val="20"/>
        </w:rPr>
        <w:t>Kamil</w:t>
      </w:r>
      <w:proofErr w:type="spellEnd"/>
      <w:r w:rsidRPr="009D59B1">
        <w:rPr>
          <w:sz w:val="20"/>
          <w:szCs w:val="20"/>
        </w:rPr>
        <w:t xml:space="preserve">, P. B. </w:t>
      </w:r>
      <w:proofErr w:type="spellStart"/>
      <w:r w:rsidRPr="009D59B1">
        <w:rPr>
          <w:sz w:val="20"/>
          <w:szCs w:val="20"/>
        </w:rPr>
        <w:t>Mosenthal</w:t>
      </w:r>
      <w:proofErr w:type="spellEnd"/>
      <w:r w:rsidRPr="009D59B1">
        <w:rPr>
          <w:sz w:val="20"/>
          <w:szCs w:val="20"/>
        </w:rPr>
        <w:t xml:space="preserve"> &amp; P. Pearson (Eds.), </w:t>
      </w:r>
      <w:r w:rsidRPr="009D59B1">
        <w:rPr>
          <w:i/>
          <w:sz w:val="20"/>
          <w:szCs w:val="20"/>
        </w:rPr>
        <w:t>Handbook of Reading Research</w:t>
      </w:r>
      <w:r w:rsidRPr="009D59B1">
        <w:rPr>
          <w:sz w:val="20"/>
          <w:szCs w:val="20"/>
        </w:rPr>
        <w:t xml:space="preserve"> (Vol. 2, pp. 789-814). White Plains, NY: Longman.</w:t>
      </w:r>
    </w:p>
    <w:p w:rsidR="00FC3FB6" w:rsidRPr="009D59B1" w:rsidRDefault="00FC3FB6" w:rsidP="008014A0">
      <w:pPr>
        <w:jc w:val="both"/>
        <w:rPr>
          <w:sz w:val="20"/>
          <w:szCs w:val="20"/>
          <w:lang w:bidi="en-US"/>
        </w:rPr>
      </w:pPr>
      <w:proofErr w:type="gramStart"/>
      <w:r w:rsidRPr="009D59B1">
        <w:rPr>
          <w:sz w:val="20"/>
          <w:szCs w:val="20"/>
          <w:lang w:bidi="en-US"/>
        </w:rPr>
        <w:t xml:space="preserve">Beck, I. L., </w:t>
      </w:r>
      <w:proofErr w:type="spellStart"/>
      <w:r w:rsidRPr="009D59B1">
        <w:rPr>
          <w:sz w:val="20"/>
          <w:szCs w:val="20"/>
          <w:lang w:bidi="en-US"/>
        </w:rPr>
        <w:t>McKeown</w:t>
      </w:r>
      <w:proofErr w:type="spellEnd"/>
      <w:r w:rsidRPr="009D59B1">
        <w:rPr>
          <w:sz w:val="20"/>
          <w:szCs w:val="20"/>
          <w:lang w:bidi="en-US"/>
        </w:rPr>
        <w:t xml:space="preserve">, M. G., &amp; </w:t>
      </w:r>
      <w:proofErr w:type="spellStart"/>
      <w:r w:rsidRPr="009D59B1">
        <w:rPr>
          <w:sz w:val="20"/>
          <w:szCs w:val="20"/>
          <w:lang w:bidi="en-US"/>
        </w:rPr>
        <w:t>Kucan</w:t>
      </w:r>
      <w:proofErr w:type="spellEnd"/>
      <w:r w:rsidRPr="009D59B1">
        <w:rPr>
          <w:sz w:val="20"/>
          <w:szCs w:val="20"/>
          <w:lang w:bidi="en-US"/>
        </w:rPr>
        <w:t>, L. (2002).</w:t>
      </w:r>
      <w:proofErr w:type="gramEnd"/>
      <w:r w:rsidRPr="009D59B1">
        <w:rPr>
          <w:sz w:val="20"/>
          <w:szCs w:val="20"/>
          <w:lang w:bidi="en-US"/>
        </w:rPr>
        <w:t xml:space="preserve"> </w:t>
      </w:r>
      <w:proofErr w:type="gramStart"/>
      <w:r w:rsidRPr="009D59B1">
        <w:rPr>
          <w:i/>
          <w:iCs/>
          <w:sz w:val="20"/>
          <w:szCs w:val="20"/>
          <w:lang w:bidi="en-US"/>
        </w:rPr>
        <w:t>Bringing Words to Life: Robust Vocabulary Instruction</w:t>
      </w:r>
      <w:r w:rsidRPr="009D59B1">
        <w:rPr>
          <w:sz w:val="20"/>
          <w:szCs w:val="20"/>
          <w:lang w:bidi="en-US"/>
        </w:rPr>
        <w:t>.</w:t>
      </w:r>
      <w:proofErr w:type="gramEnd"/>
      <w:r w:rsidRPr="009D59B1">
        <w:rPr>
          <w:sz w:val="20"/>
          <w:szCs w:val="20"/>
          <w:lang w:bidi="en-US"/>
        </w:rPr>
        <w:t xml:space="preserve"> New York, NY: Guilford.</w:t>
      </w:r>
    </w:p>
    <w:p w:rsidR="00FC3FB6" w:rsidRPr="009D59B1" w:rsidRDefault="00FC3FB6" w:rsidP="008014A0">
      <w:pPr>
        <w:jc w:val="both"/>
        <w:rPr>
          <w:sz w:val="20"/>
          <w:szCs w:val="20"/>
          <w:lang w:bidi="en-US"/>
        </w:rPr>
      </w:pPr>
      <w:proofErr w:type="spellStart"/>
      <w:r w:rsidRPr="009D59B1">
        <w:rPr>
          <w:sz w:val="20"/>
          <w:szCs w:val="20"/>
          <w:lang w:bidi="en-US"/>
        </w:rPr>
        <w:t>Berends</w:t>
      </w:r>
      <w:proofErr w:type="spellEnd"/>
      <w:r w:rsidRPr="009D59B1">
        <w:rPr>
          <w:sz w:val="20"/>
          <w:szCs w:val="20"/>
          <w:lang w:bidi="en-US"/>
        </w:rPr>
        <w:t xml:space="preserve">, I. E., &amp; </w:t>
      </w:r>
      <w:proofErr w:type="spellStart"/>
      <w:r w:rsidRPr="009D59B1">
        <w:rPr>
          <w:sz w:val="20"/>
          <w:szCs w:val="20"/>
          <w:lang w:bidi="en-US"/>
        </w:rPr>
        <w:t>Reitsma</w:t>
      </w:r>
      <w:proofErr w:type="spellEnd"/>
      <w:r w:rsidRPr="009D59B1">
        <w:rPr>
          <w:sz w:val="20"/>
          <w:szCs w:val="20"/>
          <w:lang w:bidi="en-US"/>
        </w:rPr>
        <w:t xml:space="preserve">, P. (2006). Addressing semantics promotes the development of reading fluency. </w:t>
      </w:r>
      <w:proofErr w:type="gramStart"/>
      <w:r w:rsidRPr="009D59B1">
        <w:rPr>
          <w:i/>
          <w:iCs/>
          <w:sz w:val="20"/>
          <w:szCs w:val="20"/>
          <w:lang w:bidi="en-US"/>
        </w:rPr>
        <w:t>Applied Psycholinguistics, 27</w:t>
      </w:r>
      <w:r w:rsidRPr="009D59B1">
        <w:rPr>
          <w:sz w:val="20"/>
          <w:szCs w:val="20"/>
          <w:lang w:bidi="en-US"/>
        </w:rPr>
        <w:t>, 247-265.</w:t>
      </w:r>
      <w:proofErr w:type="gramEnd"/>
    </w:p>
    <w:p w:rsidR="00FC3FB6" w:rsidRPr="009D59B1" w:rsidRDefault="00FC3FB6" w:rsidP="008014A0">
      <w:pPr>
        <w:jc w:val="both"/>
        <w:rPr>
          <w:sz w:val="20"/>
          <w:szCs w:val="20"/>
        </w:rPr>
      </w:pPr>
      <w:proofErr w:type="gramStart"/>
      <w:r w:rsidRPr="009D59B1">
        <w:rPr>
          <w:sz w:val="20"/>
          <w:szCs w:val="20"/>
        </w:rPr>
        <w:t xml:space="preserve">Bialystok, E., </w:t>
      </w:r>
      <w:proofErr w:type="spellStart"/>
      <w:r w:rsidRPr="009D59B1">
        <w:rPr>
          <w:sz w:val="20"/>
          <w:szCs w:val="20"/>
        </w:rPr>
        <w:t>Majumder</w:t>
      </w:r>
      <w:proofErr w:type="spellEnd"/>
      <w:r w:rsidRPr="009D59B1">
        <w:rPr>
          <w:sz w:val="20"/>
          <w:szCs w:val="20"/>
        </w:rPr>
        <w:t>, S., &amp; Martin, M. (2003).</w:t>
      </w:r>
      <w:proofErr w:type="gramEnd"/>
      <w:r w:rsidRPr="009D59B1">
        <w:rPr>
          <w:sz w:val="20"/>
          <w:szCs w:val="20"/>
        </w:rPr>
        <w:t xml:space="preserve"> Developing phonological awareness: Is there a bilingual advantage? </w:t>
      </w:r>
      <w:r w:rsidRPr="009D59B1">
        <w:rPr>
          <w:i/>
          <w:iCs/>
          <w:sz w:val="20"/>
          <w:szCs w:val="20"/>
        </w:rPr>
        <w:t xml:space="preserve">Applied </w:t>
      </w:r>
      <w:proofErr w:type="gramStart"/>
      <w:r w:rsidRPr="009D59B1">
        <w:rPr>
          <w:i/>
          <w:iCs/>
          <w:sz w:val="20"/>
          <w:szCs w:val="20"/>
        </w:rPr>
        <w:t>Psycholinguistics</w:t>
      </w:r>
      <w:r w:rsidRPr="009D59B1">
        <w:rPr>
          <w:sz w:val="20"/>
          <w:szCs w:val="20"/>
        </w:rPr>
        <w:t>(</w:t>
      </w:r>
      <w:proofErr w:type="gramEnd"/>
      <w:r w:rsidRPr="009D59B1">
        <w:rPr>
          <w:sz w:val="20"/>
          <w:szCs w:val="20"/>
        </w:rPr>
        <w:t>24), 27-44.</w:t>
      </w:r>
    </w:p>
    <w:p w:rsidR="00FC3FB6" w:rsidRPr="009D59B1" w:rsidRDefault="00FC3FB6" w:rsidP="008014A0">
      <w:pPr>
        <w:jc w:val="both"/>
        <w:rPr>
          <w:sz w:val="20"/>
          <w:szCs w:val="20"/>
        </w:rPr>
      </w:pPr>
      <w:r w:rsidRPr="009D59B1">
        <w:rPr>
          <w:sz w:val="20"/>
          <w:szCs w:val="20"/>
        </w:rPr>
        <w:t xml:space="preserve"> </w:t>
      </w:r>
      <w:proofErr w:type="spellStart"/>
      <w:r w:rsidRPr="009D59B1">
        <w:rPr>
          <w:sz w:val="20"/>
          <w:szCs w:val="20"/>
        </w:rPr>
        <w:t>Biemiller</w:t>
      </w:r>
      <w:proofErr w:type="spellEnd"/>
      <w:r w:rsidRPr="009D59B1">
        <w:rPr>
          <w:sz w:val="20"/>
          <w:szCs w:val="20"/>
        </w:rPr>
        <w:t xml:space="preserve">, A. (2003). Oral comprehension sets the ceiling on reading comprehension. . </w:t>
      </w:r>
      <w:r w:rsidRPr="009D59B1">
        <w:rPr>
          <w:i/>
          <w:sz w:val="20"/>
          <w:szCs w:val="20"/>
        </w:rPr>
        <w:t xml:space="preserve">American Educator, </w:t>
      </w:r>
      <w:proofErr w:type="gramStart"/>
      <w:r w:rsidRPr="009D59B1">
        <w:rPr>
          <w:i/>
          <w:sz w:val="20"/>
          <w:szCs w:val="20"/>
        </w:rPr>
        <w:t>Spring</w:t>
      </w:r>
      <w:proofErr w:type="gramEnd"/>
      <w:r w:rsidRPr="009D59B1">
        <w:rPr>
          <w:sz w:val="20"/>
          <w:szCs w:val="20"/>
        </w:rPr>
        <w:t>.</w:t>
      </w:r>
    </w:p>
    <w:p w:rsidR="00FC3FB6" w:rsidRPr="009D59B1" w:rsidRDefault="00FC3FB6" w:rsidP="008014A0">
      <w:pPr>
        <w:jc w:val="both"/>
        <w:rPr>
          <w:sz w:val="20"/>
          <w:szCs w:val="20"/>
          <w:lang w:bidi="en-US"/>
        </w:rPr>
      </w:pPr>
      <w:proofErr w:type="spellStart"/>
      <w:proofErr w:type="gramStart"/>
      <w:r w:rsidRPr="009D59B1">
        <w:rPr>
          <w:sz w:val="20"/>
          <w:szCs w:val="20"/>
          <w:lang w:bidi="en-US"/>
        </w:rPr>
        <w:t>Bos</w:t>
      </w:r>
      <w:proofErr w:type="spellEnd"/>
      <w:r w:rsidRPr="009D59B1">
        <w:rPr>
          <w:sz w:val="20"/>
          <w:szCs w:val="20"/>
          <w:lang w:bidi="en-US"/>
        </w:rPr>
        <w:t>, C. S., Allen, A. A., &amp; Scanlon, D. J. (1989).</w:t>
      </w:r>
      <w:proofErr w:type="gramEnd"/>
      <w:r w:rsidRPr="009D59B1">
        <w:rPr>
          <w:sz w:val="20"/>
          <w:szCs w:val="20"/>
          <w:lang w:bidi="en-US"/>
        </w:rPr>
        <w:t xml:space="preserve"> Vocabulary instruction and reading comprehension with bilingual learning disabled students. </w:t>
      </w:r>
      <w:r w:rsidRPr="009D59B1">
        <w:rPr>
          <w:i/>
          <w:iCs/>
          <w:sz w:val="20"/>
          <w:szCs w:val="20"/>
          <w:lang w:bidi="en-US"/>
        </w:rPr>
        <w:t>National Reading Conference Yearbook, 38</w:t>
      </w:r>
      <w:r w:rsidRPr="009D59B1">
        <w:rPr>
          <w:sz w:val="20"/>
          <w:szCs w:val="20"/>
          <w:lang w:bidi="en-US"/>
        </w:rPr>
        <w:t>, 173-179.</w:t>
      </w:r>
    </w:p>
    <w:p w:rsidR="00FC3FB6" w:rsidRPr="009D59B1" w:rsidRDefault="00FC3FB6" w:rsidP="008014A0">
      <w:pPr>
        <w:jc w:val="both"/>
        <w:rPr>
          <w:sz w:val="20"/>
          <w:szCs w:val="20"/>
        </w:rPr>
      </w:pPr>
      <w:proofErr w:type="spellStart"/>
      <w:proofErr w:type="gramStart"/>
      <w:r w:rsidRPr="009D59B1">
        <w:rPr>
          <w:sz w:val="20"/>
          <w:szCs w:val="20"/>
        </w:rPr>
        <w:t>Bos</w:t>
      </w:r>
      <w:proofErr w:type="spellEnd"/>
      <w:r w:rsidRPr="009D59B1">
        <w:rPr>
          <w:sz w:val="20"/>
          <w:szCs w:val="20"/>
        </w:rPr>
        <w:t>, C. S., &amp; Anders, P. L. (1990).</w:t>
      </w:r>
      <w:proofErr w:type="gramEnd"/>
      <w:r w:rsidRPr="009D59B1">
        <w:rPr>
          <w:sz w:val="20"/>
          <w:szCs w:val="20"/>
        </w:rPr>
        <w:t xml:space="preserve"> </w:t>
      </w:r>
      <w:proofErr w:type="gramStart"/>
      <w:r w:rsidRPr="009D59B1">
        <w:rPr>
          <w:sz w:val="20"/>
          <w:szCs w:val="20"/>
        </w:rPr>
        <w:t>Effects of interactive vocabulary instruction on the vocabulary learning and reading comprehension of junior-high learning disabled students.</w:t>
      </w:r>
      <w:proofErr w:type="gramEnd"/>
      <w:r w:rsidRPr="009D59B1">
        <w:rPr>
          <w:sz w:val="20"/>
          <w:szCs w:val="20"/>
        </w:rPr>
        <w:t xml:space="preserve"> </w:t>
      </w:r>
      <w:r w:rsidRPr="009D59B1">
        <w:rPr>
          <w:i/>
          <w:iCs/>
          <w:sz w:val="20"/>
          <w:szCs w:val="20"/>
        </w:rPr>
        <w:t>Learning Disability Quarterly, 13</w:t>
      </w:r>
      <w:r w:rsidRPr="009D59B1">
        <w:rPr>
          <w:sz w:val="20"/>
          <w:szCs w:val="20"/>
        </w:rPr>
        <w:t xml:space="preserve">, 31-42. </w:t>
      </w:r>
    </w:p>
    <w:p w:rsidR="00FC3FB6" w:rsidRPr="009D59B1" w:rsidRDefault="00FC3FB6" w:rsidP="008014A0">
      <w:pPr>
        <w:jc w:val="both"/>
        <w:rPr>
          <w:sz w:val="20"/>
          <w:szCs w:val="20"/>
        </w:rPr>
      </w:pPr>
      <w:r w:rsidRPr="009D59B1">
        <w:rPr>
          <w:sz w:val="20"/>
          <w:szCs w:val="20"/>
        </w:rPr>
        <w:t xml:space="preserve">Brownell, R. E. (2000). Expressive One-Word Picture Vocabulary Test manual (3rd. </w:t>
      </w:r>
      <w:proofErr w:type="gramStart"/>
      <w:r w:rsidRPr="009D59B1">
        <w:rPr>
          <w:sz w:val="20"/>
          <w:szCs w:val="20"/>
        </w:rPr>
        <w:t>ed</w:t>
      </w:r>
      <w:proofErr w:type="gramEnd"/>
      <w:r w:rsidRPr="009D59B1">
        <w:rPr>
          <w:sz w:val="20"/>
          <w:szCs w:val="20"/>
        </w:rPr>
        <w:t>.). Novato, CA: Academic Therapy Publications.</w:t>
      </w:r>
    </w:p>
    <w:p w:rsidR="00FC3FB6" w:rsidRPr="009D59B1" w:rsidRDefault="00FC3FB6" w:rsidP="008014A0">
      <w:pPr>
        <w:jc w:val="both"/>
        <w:rPr>
          <w:sz w:val="20"/>
          <w:szCs w:val="20"/>
        </w:rPr>
      </w:pPr>
      <w:proofErr w:type="spellStart"/>
      <w:r w:rsidRPr="009D59B1">
        <w:rPr>
          <w:sz w:val="20"/>
          <w:szCs w:val="20"/>
        </w:rPr>
        <w:t>Calderón</w:t>
      </w:r>
      <w:proofErr w:type="spellEnd"/>
      <w:r w:rsidRPr="009D59B1">
        <w:rPr>
          <w:sz w:val="20"/>
          <w:szCs w:val="20"/>
        </w:rPr>
        <w:t xml:space="preserve">, M., August, D., </w:t>
      </w:r>
      <w:proofErr w:type="spellStart"/>
      <w:r w:rsidRPr="009D59B1">
        <w:rPr>
          <w:sz w:val="20"/>
          <w:szCs w:val="20"/>
        </w:rPr>
        <w:t>Slavin</w:t>
      </w:r>
      <w:proofErr w:type="spellEnd"/>
      <w:r w:rsidRPr="009D59B1">
        <w:rPr>
          <w:sz w:val="20"/>
          <w:szCs w:val="20"/>
        </w:rPr>
        <w:t xml:space="preserve">, R., Duran, D., Madden, N., &amp; Cheung, A. (2005). </w:t>
      </w:r>
      <w:proofErr w:type="gramStart"/>
      <w:r w:rsidRPr="009D59B1">
        <w:rPr>
          <w:sz w:val="20"/>
          <w:szCs w:val="20"/>
        </w:rPr>
        <w:t>Bringing words to life in classrooms with English-language learners.</w:t>
      </w:r>
      <w:proofErr w:type="gramEnd"/>
      <w:r w:rsidRPr="009D59B1">
        <w:rPr>
          <w:sz w:val="20"/>
          <w:szCs w:val="20"/>
        </w:rPr>
        <w:t xml:space="preserve"> </w:t>
      </w:r>
      <w:proofErr w:type="gramStart"/>
      <w:r w:rsidRPr="009D59B1">
        <w:rPr>
          <w:sz w:val="20"/>
          <w:szCs w:val="20"/>
        </w:rPr>
        <w:t xml:space="preserve">In E. H. </w:t>
      </w:r>
      <w:proofErr w:type="spellStart"/>
      <w:r w:rsidRPr="009D59B1">
        <w:rPr>
          <w:sz w:val="20"/>
          <w:szCs w:val="20"/>
        </w:rPr>
        <w:t>Hiebert</w:t>
      </w:r>
      <w:proofErr w:type="spellEnd"/>
      <w:r w:rsidRPr="009D59B1">
        <w:rPr>
          <w:sz w:val="20"/>
          <w:szCs w:val="20"/>
        </w:rPr>
        <w:t xml:space="preserve"> &amp; M. L. </w:t>
      </w:r>
      <w:proofErr w:type="spellStart"/>
      <w:r w:rsidRPr="009D59B1">
        <w:rPr>
          <w:sz w:val="20"/>
          <w:szCs w:val="20"/>
        </w:rPr>
        <w:t>Kamil</w:t>
      </w:r>
      <w:proofErr w:type="spellEnd"/>
      <w:r w:rsidRPr="009D59B1">
        <w:rPr>
          <w:sz w:val="20"/>
          <w:szCs w:val="20"/>
        </w:rPr>
        <w:t xml:space="preserve"> (Eds.), </w:t>
      </w:r>
      <w:r w:rsidRPr="009D59B1">
        <w:rPr>
          <w:i/>
          <w:sz w:val="20"/>
          <w:szCs w:val="20"/>
        </w:rPr>
        <w:t>Teaching and Learning Vocabulary</w:t>
      </w:r>
      <w:r w:rsidRPr="009D59B1">
        <w:rPr>
          <w:sz w:val="20"/>
          <w:szCs w:val="20"/>
        </w:rPr>
        <w:t xml:space="preserve"> (pp. 115-136).</w:t>
      </w:r>
      <w:proofErr w:type="gramEnd"/>
    </w:p>
    <w:p w:rsidR="00FC3FB6" w:rsidRPr="009D59B1" w:rsidRDefault="00FC3FB6" w:rsidP="008014A0">
      <w:pPr>
        <w:jc w:val="both"/>
        <w:rPr>
          <w:sz w:val="20"/>
          <w:szCs w:val="20"/>
        </w:rPr>
      </w:pPr>
      <w:proofErr w:type="gramStart"/>
      <w:r w:rsidRPr="009D59B1">
        <w:rPr>
          <w:sz w:val="20"/>
          <w:szCs w:val="20"/>
        </w:rPr>
        <w:t xml:space="preserve">Carlo, M. S., August, D., McLaughlin, B., Snow, C. E., Dressler, C., </w:t>
      </w:r>
      <w:proofErr w:type="spellStart"/>
      <w:r w:rsidRPr="009D59B1">
        <w:rPr>
          <w:sz w:val="20"/>
          <w:szCs w:val="20"/>
        </w:rPr>
        <w:t>Lippman</w:t>
      </w:r>
      <w:proofErr w:type="spellEnd"/>
      <w:r w:rsidRPr="009D59B1">
        <w:rPr>
          <w:sz w:val="20"/>
          <w:szCs w:val="20"/>
        </w:rPr>
        <w:t>, D. N. (2004).</w:t>
      </w:r>
      <w:proofErr w:type="gramEnd"/>
      <w:r w:rsidRPr="009D59B1">
        <w:rPr>
          <w:sz w:val="20"/>
          <w:szCs w:val="20"/>
        </w:rPr>
        <w:t xml:space="preserve"> </w:t>
      </w:r>
      <w:proofErr w:type="gramStart"/>
      <w:r w:rsidRPr="009D59B1">
        <w:rPr>
          <w:sz w:val="20"/>
          <w:szCs w:val="20"/>
        </w:rPr>
        <w:t>Closing the gap: Addressing the vocabulary needs of English language learners in bilingual and mainstream classrooms.</w:t>
      </w:r>
      <w:proofErr w:type="gramEnd"/>
      <w:r w:rsidRPr="009D59B1">
        <w:rPr>
          <w:sz w:val="20"/>
          <w:szCs w:val="20"/>
        </w:rPr>
        <w:t xml:space="preserve"> </w:t>
      </w:r>
      <w:proofErr w:type="gramStart"/>
      <w:r w:rsidRPr="009D59B1">
        <w:rPr>
          <w:i/>
          <w:sz w:val="20"/>
          <w:szCs w:val="20"/>
        </w:rPr>
        <w:t>Reading Research Quarterly, 39</w:t>
      </w:r>
      <w:r w:rsidRPr="009D59B1">
        <w:rPr>
          <w:sz w:val="20"/>
          <w:szCs w:val="20"/>
        </w:rPr>
        <w:t>, 188-215.</w:t>
      </w:r>
      <w:proofErr w:type="gramEnd"/>
    </w:p>
    <w:p w:rsidR="00FC3FB6" w:rsidRPr="009D59B1" w:rsidRDefault="00FC3FB6" w:rsidP="008014A0">
      <w:pPr>
        <w:jc w:val="both"/>
        <w:rPr>
          <w:sz w:val="20"/>
          <w:szCs w:val="20"/>
        </w:rPr>
      </w:pPr>
      <w:proofErr w:type="spellStart"/>
      <w:proofErr w:type="gramStart"/>
      <w:r w:rsidRPr="009D59B1">
        <w:rPr>
          <w:sz w:val="20"/>
          <w:szCs w:val="20"/>
        </w:rPr>
        <w:t>Carnine</w:t>
      </w:r>
      <w:proofErr w:type="spellEnd"/>
      <w:r w:rsidRPr="009D59B1">
        <w:rPr>
          <w:sz w:val="20"/>
          <w:szCs w:val="20"/>
        </w:rPr>
        <w:t xml:space="preserve">, L., &amp; </w:t>
      </w:r>
      <w:proofErr w:type="spellStart"/>
      <w:r w:rsidRPr="009D59B1">
        <w:rPr>
          <w:sz w:val="20"/>
          <w:szCs w:val="20"/>
        </w:rPr>
        <w:t>Carnine</w:t>
      </w:r>
      <w:proofErr w:type="spellEnd"/>
      <w:r w:rsidRPr="009D59B1">
        <w:rPr>
          <w:sz w:val="20"/>
          <w:szCs w:val="20"/>
        </w:rPr>
        <w:t>, D. (2004).</w:t>
      </w:r>
      <w:proofErr w:type="gramEnd"/>
      <w:r w:rsidRPr="009D59B1">
        <w:rPr>
          <w:sz w:val="20"/>
          <w:szCs w:val="20"/>
        </w:rPr>
        <w:t xml:space="preserve"> </w:t>
      </w:r>
      <w:proofErr w:type="gramStart"/>
      <w:r w:rsidRPr="009D59B1">
        <w:rPr>
          <w:sz w:val="20"/>
          <w:szCs w:val="20"/>
        </w:rPr>
        <w:t>The interaction of reading skills and science content knowledge when teaching struggling secondary students.</w:t>
      </w:r>
      <w:proofErr w:type="gramEnd"/>
      <w:r w:rsidRPr="009D59B1">
        <w:rPr>
          <w:sz w:val="20"/>
          <w:szCs w:val="20"/>
        </w:rPr>
        <w:t xml:space="preserve"> </w:t>
      </w:r>
      <w:r w:rsidRPr="009D59B1">
        <w:rPr>
          <w:i/>
          <w:iCs/>
          <w:sz w:val="20"/>
          <w:szCs w:val="20"/>
        </w:rPr>
        <w:t>Reading &amp; Writing Quarterly, 20</w:t>
      </w:r>
      <w:r w:rsidRPr="009D59B1">
        <w:rPr>
          <w:sz w:val="20"/>
          <w:szCs w:val="20"/>
        </w:rPr>
        <w:t xml:space="preserve">, 203-218. </w:t>
      </w:r>
    </w:p>
    <w:p w:rsidR="00FC3FB6" w:rsidRPr="009D59B1" w:rsidRDefault="00FC3FB6" w:rsidP="008014A0">
      <w:pPr>
        <w:widowControl w:val="0"/>
        <w:autoSpaceDE w:val="0"/>
        <w:autoSpaceDN w:val="0"/>
        <w:adjustRightInd w:val="0"/>
        <w:jc w:val="both"/>
        <w:rPr>
          <w:sz w:val="20"/>
          <w:szCs w:val="20"/>
        </w:rPr>
      </w:pPr>
      <w:proofErr w:type="spellStart"/>
      <w:r w:rsidRPr="009D59B1">
        <w:rPr>
          <w:sz w:val="20"/>
          <w:szCs w:val="20"/>
        </w:rPr>
        <w:t>Catts</w:t>
      </w:r>
      <w:proofErr w:type="spellEnd"/>
      <w:r w:rsidRPr="009D59B1">
        <w:rPr>
          <w:sz w:val="20"/>
          <w:szCs w:val="20"/>
        </w:rPr>
        <w:t xml:space="preserve">, H. W. (2009).  The Narrow View of Reading Promotes a Broad View of Comprehension.  </w:t>
      </w:r>
      <w:proofErr w:type="gramStart"/>
      <w:r w:rsidRPr="009D59B1">
        <w:rPr>
          <w:i/>
          <w:sz w:val="20"/>
          <w:szCs w:val="20"/>
        </w:rPr>
        <w:t>Language, Speech.</w:t>
      </w:r>
      <w:proofErr w:type="gramEnd"/>
      <w:r w:rsidRPr="009D59B1">
        <w:rPr>
          <w:i/>
          <w:sz w:val="20"/>
          <w:szCs w:val="20"/>
        </w:rPr>
        <w:t xml:space="preserve"> Language, Speech, and Hearing Services in Schools</w:t>
      </w:r>
      <w:r w:rsidRPr="009D59B1">
        <w:rPr>
          <w:sz w:val="20"/>
          <w:szCs w:val="20"/>
        </w:rPr>
        <w:t xml:space="preserve">, 40, 178-183.  </w:t>
      </w:r>
    </w:p>
    <w:p w:rsidR="00FC3FB6" w:rsidRPr="009D59B1" w:rsidRDefault="00FC3FB6" w:rsidP="008014A0">
      <w:pPr>
        <w:jc w:val="both"/>
        <w:rPr>
          <w:sz w:val="20"/>
          <w:szCs w:val="20"/>
        </w:rPr>
      </w:pPr>
      <w:r w:rsidRPr="009D59B1">
        <w:rPr>
          <w:sz w:val="20"/>
          <w:szCs w:val="20"/>
        </w:rPr>
        <w:lastRenderedPageBreak/>
        <w:t xml:space="preserve">Cohen, J. (1988). </w:t>
      </w:r>
      <w:r w:rsidRPr="009D59B1">
        <w:rPr>
          <w:i/>
          <w:sz w:val="20"/>
          <w:szCs w:val="20"/>
        </w:rPr>
        <w:t>Statistical power analysis for the behavioral sciences</w:t>
      </w:r>
      <w:r w:rsidRPr="009D59B1">
        <w:rPr>
          <w:sz w:val="20"/>
          <w:szCs w:val="20"/>
        </w:rPr>
        <w:t xml:space="preserve"> (2nd </w:t>
      </w:r>
      <w:proofErr w:type="gramStart"/>
      <w:r w:rsidRPr="009D59B1">
        <w:rPr>
          <w:sz w:val="20"/>
          <w:szCs w:val="20"/>
        </w:rPr>
        <w:t>ed</w:t>
      </w:r>
      <w:proofErr w:type="gramEnd"/>
      <w:r w:rsidRPr="009D59B1">
        <w:rPr>
          <w:sz w:val="20"/>
          <w:szCs w:val="20"/>
        </w:rPr>
        <w:t>.). Hillsdale, NJ: Lawrence Erlbaum Associates.</w:t>
      </w:r>
    </w:p>
    <w:p w:rsidR="006256A5" w:rsidRPr="009D59B1" w:rsidRDefault="006256A5" w:rsidP="008014A0">
      <w:pPr>
        <w:jc w:val="both"/>
        <w:rPr>
          <w:sz w:val="20"/>
          <w:szCs w:val="20"/>
        </w:rPr>
      </w:pPr>
      <w:proofErr w:type="spellStart"/>
      <w:proofErr w:type="gramStart"/>
      <w:r w:rsidRPr="009D59B1">
        <w:rPr>
          <w:sz w:val="20"/>
          <w:szCs w:val="20"/>
        </w:rPr>
        <w:t>Crosson</w:t>
      </w:r>
      <w:proofErr w:type="spellEnd"/>
      <w:r w:rsidRPr="009D59B1">
        <w:rPr>
          <w:sz w:val="20"/>
          <w:szCs w:val="20"/>
        </w:rPr>
        <w:t xml:space="preserve">, </w:t>
      </w:r>
      <w:proofErr w:type="spellStart"/>
      <w:r w:rsidRPr="009D59B1">
        <w:rPr>
          <w:sz w:val="20"/>
          <w:szCs w:val="20"/>
        </w:rPr>
        <w:t>A.C.</w:t>
      </w:r>
      <w:proofErr w:type="spellEnd"/>
      <w:r w:rsidRPr="009D59B1">
        <w:rPr>
          <w:sz w:val="20"/>
          <w:szCs w:val="20"/>
        </w:rPr>
        <w:t xml:space="preserve"> &amp; </w:t>
      </w:r>
      <w:proofErr w:type="spellStart"/>
      <w:r w:rsidRPr="009D59B1">
        <w:rPr>
          <w:sz w:val="20"/>
          <w:szCs w:val="20"/>
        </w:rPr>
        <w:t>Lesaux</w:t>
      </w:r>
      <w:proofErr w:type="spellEnd"/>
      <w:r w:rsidRPr="009D59B1">
        <w:rPr>
          <w:sz w:val="20"/>
          <w:szCs w:val="20"/>
        </w:rPr>
        <w:t xml:space="preserve"> N.K. (2010).</w:t>
      </w:r>
      <w:proofErr w:type="gramEnd"/>
      <w:r w:rsidRPr="009D59B1">
        <w:rPr>
          <w:sz w:val="20"/>
          <w:szCs w:val="20"/>
        </w:rPr>
        <w:t xml:space="preserve"> </w:t>
      </w:r>
      <w:proofErr w:type="gramStart"/>
      <w:r w:rsidRPr="009D59B1">
        <w:rPr>
          <w:sz w:val="20"/>
          <w:szCs w:val="20"/>
        </w:rPr>
        <w:t>Revisiting assumptions about the relationship of fluent reading to comprehension: Spanish speakers’ text-reading fluency in English.</w:t>
      </w:r>
      <w:proofErr w:type="gramEnd"/>
      <w:r w:rsidRPr="009D59B1">
        <w:rPr>
          <w:sz w:val="20"/>
          <w:szCs w:val="20"/>
        </w:rPr>
        <w:t xml:space="preserve"> </w:t>
      </w:r>
      <w:r w:rsidRPr="009D59B1">
        <w:rPr>
          <w:i/>
          <w:sz w:val="20"/>
          <w:szCs w:val="20"/>
        </w:rPr>
        <w:t xml:space="preserve">Reading and Writing, 23 </w:t>
      </w:r>
      <w:r w:rsidRPr="009D59B1">
        <w:rPr>
          <w:sz w:val="20"/>
          <w:szCs w:val="20"/>
        </w:rPr>
        <w:t>474-494.</w:t>
      </w:r>
    </w:p>
    <w:p w:rsidR="00FC3FB6" w:rsidRPr="009D59B1" w:rsidRDefault="00FC3FB6" w:rsidP="008014A0">
      <w:pPr>
        <w:jc w:val="both"/>
        <w:rPr>
          <w:sz w:val="20"/>
          <w:szCs w:val="20"/>
        </w:rPr>
      </w:pPr>
      <w:proofErr w:type="gramStart"/>
      <w:r w:rsidRPr="009D59B1">
        <w:rPr>
          <w:sz w:val="20"/>
          <w:szCs w:val="20"/>
        </w:rPr>
        <w:t>Dunn, L. M., &amp; Dunn, L. M. (1997).</w:t>
      </w:r>
      <w:proofErr w:type="gramEnd"/>
      <w:r w:rsidRPr="009D59B1">
        <w:rPr>
          <w:sz w:val="20"/>
          <w:szCs w:val="20"/>
        </w:rPr>
        <w:t xml:space="preserve"> Peabody Picture Vocabulary Test (3rd </w:t>
      </w:r>
      <w:proofErr w:type="gramStart"/>
      <w:r w:rsidRPr="009D59B1">
        <w:rPr>
          <w:sz w:val="20"/>
          <w:szCs w:val="20"/>
        </w:rPr>
        <w:t>ed</w:t>
      </w:r>
      <w:proofErr w:type="gramEnd"/>
      <w:r w:rsidRPr="009D59B1">
        <w:rPr>
          <w:sz w:val="20"/>
          <w:szCs w:val="20"/>
        </w:rPr>
        <w:t>.). Circle Pines, MN: American Guidance Service.</w:t>
      </w:r>
    </w:p>
    <w:p w:rsidR="00FC3FB6" w:rsidRPr="009D59B1" w:rsidRDefault="00FC3FB6" w:rsidP="008014A0">
      <w:pPr>
        <w:jc w:val="both"/>
        <w:rPr>
          <w:sz w:val="20"/>
          <w:szCs w:val="20"/>
        </w:rPr>
      </w:pPr>
      <w:proofErr w:type="spellStart"/>
      <w:proofErr w:type="gramStart"/>
      <w:r w:rsidRPr="009D59B1">
        <w:rPr>
          <w:sz w:val="20"/>
          <w:szCs w:val="20"/>
        </w:rPr>
        <w:t>Ehri</w:t>
      </w:r>
      <w:proofErr w:type="spellEnd"/>
      <w:r w:rsidRPr="009D59B1">
        <w:rPr>
          <w:sz w:val="20"/>
          <w:szCs w:val="20"/>
        </w:rPr>
        <w:t xml:space="preserve">, L. C., </w:t>
      </w:r>
      <w:proofErr w:type="spellStart"/>
      <w:r w:rsidRPr="009D59B1">
        <w:rPr>
          <w:sz w:val="20"/>
          <w:szCs w:val="20"/>
        </w:rPr>
        <w:t>Nunes</w:t>
      </w:r>
      <w:proofErr w:type="spellEnd"/>
      <w:r w:rsidRPr="009D59B1">
        <w:rPr>
          <w:sz w:val="20"/>
          <w:szCs w:val="20"/>
        </w:rPr>
        <w:t xml:space="preserve">, S. R., Willows, D. M., Schuster, B. V., </w:t>
      </w:r>
      <w:proofErr w:type="spellStart"/>
      <w:r w:rsidRPr="009D59B1">
        <w:rPr>
          <w:sz w:val="20"/>
          <w:szCs w:val="20"/>
        </w:rPr>
        <w:t>Yaghoub-Zadeh</w:t>
      </w:r>
      <w:proofErr w:type="spellEnd"/>
      <w:r w:rsidRPr="009D59B1">
        <w:rPr>
          <w:sz w:val="20"/>
          <w:szCs w:val="20"/>
        </w:rPr>
        <w:t>, Z., &amp; Shanahan, T. (2001).</w:t>
      </w:r>
      <w:proofErr w:type="gramEnd"/>
      <w:r w:rsidRPr="009D59B1">
        <w:rPr>
          <w:sz w:val="20"/>
          <w:szCs w:val="20"/>
        </w:rPr>
        <w:t xml:space="preserve"> Phonemic awareness instruction helps children learn to read: Evidence </w:t>
      </w:r>
      <w:proofErr w:type="spellStart"/>
      <w:r w:rsidRPr="009D59B1">
        <w:rPr>
          <w:sz w:val="20"/>
          <w:szCs w:val="20"/>
        </w:rPr>
        <w:t>form</w:t>
      </w:r>
      <w:proofErr w:type="spellEnd"/>
      <w:r w:rsidRPr="009D59B1">
        <w:rPr>
          <w:sz w:val="20"/>
          <w:szCs w:val="20"/>
        </w:rPr>
        <w:t xml:space="preserve"> the National Reading Panel's meta-analysis. </w:t>
      </w:r>
      <w:proofErr w:type="gramStart"/>
      <w:r w:rsidRPr="009D59B1">
        <w:rPr>
          <w:i/>
          <w:sz w:val="20"/>
          <w:szCs w:val="20"/>
        </w:rPr>
        <w:t>Reading Research Quarterly, 36</w:t>
      </w:r>
      <w:r w:rsidRPr="009D59B1">
        <w:rPr>
          <w:sz w:val="20"/>
          <w:szCs w:val="20"/>
        </w:rPr>
        <w:t>(3), 250-287.</w:t>
      </w:r>
      <w:proofErr w:type="gramEnd"/>
    </w:p>
    <w:p w:rsidR="00FC3FB6" w:rsidRPr="009D59B1" w:rsidRDefault="00FC3FB6" w:rsidP="008014A0">
      <w:pPr>
        <w:jc w:val="both"/>
        <w:rPr>
          <w:sz w:val="20"/>
          <w:szCs w:val="20"/>
        </w:rPr>
      </w:pPr>
      <w:proofErr w:type="gramStart"/>
      <w:r w:rsidRPr="009D59B1">
        <w:rPr>
          <w:sz w:val="20"/>
          <w:szCs w:val="20"/>
        </w:rPr>
        <w:t xml:space="preserve">Gerber, M., Jimenez, T., </w:t>
      </w:r>
      <w:proofErr w:type="spellStart"/>
      <w:r w:rsidRPr="009D59B1">
        <w:rPr>
          <w:sz w:val="20"/>
          <w:szCs w:val="20"/>
        </w:rPr>
        <w:t>Leafstedt</w:t>
      </w:r>
      <w:proofErr w:type="spellEnd"/>
      <w:r w:rsidRPr="009D59B1">
        <w:rPr>
          <w:sz w:val="20"/>
          <w:szCs w:val="20"/>
        </w:rPr>
        <w:t xml:space="preserve">, J., </w:t>
      </w:r>
      <w:proofErr w:type="spellStart"/>
      <w:r w:rsidRPr="009D59B1">
        <w:rPr>
          <w:sz w:val="20"/>
          <w:szCs w:val="20"/>
        </w:rPr>
        <w:t>Villaruz</w:t>
      </w:r>
      <w:proofErr w:type="spellEnd"/>
      <w:r w:rsidRPr="009D59B1">
        <w:rPr>
          <w:sz w:val="20"/>
          <w:szCs w:val="20"/>
        </w:rPr>
        <w:t>, J., Richards, C., &amp; English, J. P. (2004).</w:t>
      </w:r>
      <w:proofErr w:type="gramEnd"/>
      <w:r w:rsidRPr="009D59B1">
        <w:rPr>
          <w:sz w:val="20"/>
          <w:szCs w:val="20"/>
        </w:rPr>
        <w:t xml:space="preserve"> English reading effects of small-group intensive intervention in Spanish for K-1 English Learners. </w:t>
      </w:r>
      <w:r w:rsidRPr="009D59B1">
        <w:rPr>
          <w:i/>
          <w:sz w:val="20"/>
          <w:szCs w:val="20"/>
        </w:rPr>
        <w:t>Learning Disabilities Research &amp; Practice, 19</w:t>
      </w:r>
      <w:r w:rsidRPr="009D59B1">
        <w:rPr>
          <w:sz w:val="20"/>
          <w:szCs w:val="20"/>
        </w:rPr>
        <w:t>(4), 239-251.</w:t>
      </w:r>
    </w:p>
    <w:p w:rsidR="00FC3FB6" w:rsidRPr="009D59B1" w:rsidRDefault="00FC3FB6" w:rsidP="008014A0">
      <w:pPr>
        <w:jc w:val="both"/>
        <w:rPr>
          <w:sz w:val="20"/>
          <w:szCs w:val="20"/>
        </w:rPr>
      </w:pPr>
      <w:proofErr w:type="spellStart"/>
      <w:proofErr w:type="gramStart"/>
      <w:r w:rsidRPr="009D59B1">
        <w:rPr>
          <w:sz w:val="20"/>
          <w:szCs w:val="20"/>
        </w:rPr>
        <w:t>Gersten</w:t>
      </w:r>
      <w:proofErr w:type="spellEnd"/>
      <w:r w:rsidRPr="009D59B1">
        <w:rPr>
          <w:sz w:val="20"/>
          <w:szCs w:val="20"/>
        </w:rPr>
        <w:t xml:space="preserve">, R., Baker, S. K., Shanahan, T., </w:t>
      </w:r>
      <w:proofErr w:type="spellStart"/>
      <w:r w:rsidRPr="009D59B1">
        <w:rPr>
          <w:sz w:val="20"/>
          <w:szCs w:val="20"/>
        </w:rPr>
        <w:t>Linan</w:t>
      </w:r>
      <w:proofErr w:type="spellEnd"/>
      <w:r w:rsidRPr="009D59B1">
        <w:rPr>
          <w:sz w:val="20"/>
          <w:szCs w:val="20"/>
        </w:rPr>
        <w:t xml:space="preserve">-Thompson, S., Collins, P., &amp; </w:t>
      </w:r>
      <w:proofErr w:type="spellStart"/>
      <w:r w:rsidRPr="009D59B1">
        <w:rPr>
          <w:sz w:val="20"/>
          <w:szCs w:val="20"/>
        </w:rPr>
        <w:t>Scarcella</w:t>
      </w:r>
      <w:proofErr w:type="spellEnd"/>
      <w:r w:rsidRPr="009D59B1">
        <w:rPr>
          <w:sz w:val="20"/>
          <w:szCs w:val="20"/>
        </w:rPr>
        <w:t>, R. (2007).</w:t>
      </w:r>
      <w:proofErr w:type="gramEnd"/>
      <w:r w:rsidRPr="009D59B1">
        <w:rPr>
          <w:sz w:val="20"/>
          <w:szCs w:val="20"/>
        </w:rPr>
        <w:t xml:space="preserve"> </w:t>
      </w:r>
      <w:r w:rsidRPr="009D59B1">
        <w:rPr>
          <w:i/>
          <w:sz w:val="20"/>
          <w:szCs w:val="20"/>
        </w:rPr>
        <w:t>Effective Literacy and English Language Instruction for English Learners in the Elementary Grades</w:t>
      </w:r>
      <w:r w:rsidRPr="009D59B1">
        <w:rPr>
          <w:sz w:val="20"/>
          <w:szCs w:val="20"/>
        </w:rPr>
        <w:t>: Institute of Education Sciences.</w:t>
      </w:r>
    </w:p>
    <w:p w:rsidR="00FC3FB6" w:rsidRPr="009D59B1" w:rsidRDefault="00FC3FB6" w:rsidP="008014A0">
      <w:pPr>
        <w:jc w:val="both"/>
        <w:rPr>
          <w:sz w:val="20"/>
          <w:szCs w:val="20"/>
          <w:lang w:bidi="en-US"/>
        </w:rPr>
      </w:pPr>
      <w:proofErr w:type="spellStart"/>
      <w:proofErr w:type="gramStart"/>
      <w:r w:rsidRPr="009D59B1">
        <w:rPr>
          <w:sz w:val="20"/>
          <w:szCs w:val="20"/>
          <w:lang w:bidi="en-US"/>
        </w:rPr>
        <w:t>Gersten</w:t>
      </w:r>
      <w:proofErr w:type="spellEnd"/>
      <w:r w:rsidRPr="009D59B1">
        <w:rPr>
          <w:sz w:val="20"/>
          <w:szCs w:val="20"/>
          <w:lang w:bidi="en-US"/>
        </w:rPr>
        <w:t xml:space="preserve">, R., &amp; </w:t>
      </w:r>
      <w:proofErr w:type="spellStart"/>
      <w:r w:rsidRPr="009D59B1">
        <w:rPr>
          <w:sz w:val="20"/>
          <w:szCs w:val="20"/>
          <w:lang w:bidi="en-US"/>
        </w:rPr>
        <w:t>Geva</w:t>
      </w:r>
      <w:proofErr w:type="spellEnd"/>
      <w:r w:rsidRPr="009D59B1">
        <w:rPr>
          <w:sz w:val="20"/>
          <w:szCs w:val="20"/>
          <w:lang w:bidi="en-US"/>
        </w:rPr>
        <w:t>, E. (2003).</w:t>
      </w:r>
      <w:proofErr w:type="gramEnd"/>
      <w:r w:rsidRPr="009D59B1">
        <w:rPr>
          <w:sz w:val="20"/>
          <w:szCs w:val="20"/>
          <w:lang w:bidi="en-US"/>
        </w:rPr>
        <w:t xml:space="preserve"> </w:t>
      </w:r>
      <w:proofErr w:type="gramStart"/>
      <w:r w:rsidRPr="009D59B1">
        <w:rPr>
          <w:sz w:val="20"/>
          <w:szCs w:val="20"/>
          <w:lang w:bidi="en-US"/>
        </w:rPr>
        <w:t>Teaching reading to early language learners.</w:t>
      </w:r>
      <w:proofErr w:type="gramEnd"/>
      <w:r w:rsidRPr="009D59B1">
        <w:rPr>
          <w:sz w:val="20"/>
          <w:szCs w:val="20"/>
          <w:lang w:bidi="en-US"/>
        </w:rPr>
        <w:t xml:space="preserve"> </w:t>
      </w:r>
      <w:r w:rsidRPr="009D59B1">
        <w:rPr>
          <w:i/>
          <w:iCs/>
          <w:sz w:val="20"/>
          <w:szCs w:val="20"/>
          <w:lang w:bidi="en-US"/>
        </w:rPr>
        <w:t xml:space="preserve">Educational Leadership, 60, </w:t>
      </w:r>
      <w:r w:rsidRPr="009D59B1">
        <w:rPr>
          <w:sz w:val="20"/>
          <w:szCs w:val="20"/>
          <w:lang w:bidi="en-US"/>
        </w:rPr>
        <w:t>7, 44-49.</w:t>
      </w:r>
    </w:p>
    <w:p w:rsidR="00FC3FB6" w:rsidRPr="009D59B1" w:rsidRDefault="00FC3FB6" w:rsidP="008014A0">
      <w:pPr>
        <w:jc w:val="both"/>
        <w:rPr>
          <w:sz w:val="20"/>
          <w:szCs w:val="20"/>
        </w:rPr>
      </w:pPr>
      <w:r w:rsidRPr="009D59B1">
        <w:rPr>
          <w:sz w:val="20"/>
          <w:szCs w:val="20"/>
        </w:rPr>
        <w:t xml:space="preserve">Good, R. H., Simmons, D. S., </w:t>
      </w:r>
      <w:proofErr w:type="spellStart"/>
      <w:r w:rsidRPr="009D59B1">
        <w:rPr>
          <w:sz w:val="20"/>
          <w:szCs w:val="20"/>
        </w:rPr>
        <w:t>Kame'enui</w:t>
      </w:r>
      <w:proofErr w:type="spellEnd"/>
      <w:r w:rsidRPr="009D59B1">
        <w:rPr>
          <w:sz w:val="20"/>
          <w:szCs w:val="20"/>
        </w:rPr>
        <w:t xml:space="preserve">, E. S., Kaminski, R. A., &amp; </w:t>
      </w:r>
      <w:proofErr w:type="spellStart"/>
      <w:r w:rsidRPr="009D59B1">
        <w:rPr>
          <w:sz w:val="20"/>
          <w:szCs w:val="20"/>
        </w:rPr>
        <w:t>Wallin</w:t>
      </w:r>
      <w:proofErr w:type="spellEnd"/>
      <w:r w:rsidRPr="009D59B1">
        <w:rPr>
          <w:sz w:val="20"/>
          <w:szCs w:val="20"/>
        </w:rPr>
        <w:t xml:space="preserve">, J. (2002). Summary of decision rules for intensive, strategic, and benchmark instructional recommendations in kindergarten through third grade, </w:t>
      </w:r>
      <w:r w:rsidRPr="009D59B1">
        <w:rPr>
          <w:i/>
          <w:sz w:val="20"/>
          <w:szCs w:val="20"/>
        </w:rPr>
        <w:t>Technical Report No. 11</w:t>
      </w:r>
      <w:r w:rsidRPr="009D59B1">
        <w:rPr>
          <w:sz w:val="20"/>
          <w:szCs w:val="20"/>
        </w:rPr>
        <w:t>. Eugene, OR: University of Oregon.</w:t>
      </w:r>
    </w:p>
    <w:p w:rsidR="00FC3FB6" w:rsidRPr="009D59B1" w:rsidRDefault="00FC3FB6" w:rsidP="008014A0">
      <w:pPr>
        <w:jc w:val="both"/>
        <w:rPr>
          <w:sz w:val="20"/>
          <w:szCs w:val="20"/>
        </w:rPr>
      </w:pPr>
      <w:proofErr w:type="gramStart"/>
      <w:r w:rsidRPr="009D59B1">
        <w:rPr>
          <w:sz w:val="20"/>
          <w:szCs w:val="20"/>
        </w:rPr>
        <w:t xml:space="preserve">Hart, B., &amp; </w:t>
      </w:r>
      <w:proofErr w:type="spellStart"/>
      <w:r w:rsidRPr="009D59B1">
        <w:rPr>
          <w:sz w:val="20"/>
          <w:szCs w:val="20"/>
        </w:rPr>
        <w:t>Risley</w:t>
      </w:r>
      <w:proofErr w:type="spellEnd"/>
      <w:r w:rsidRPr="009D59B1">
        <w:rPr>
          <w:sz w:val="20"/>
          <w:szCs w:val="20"/>
        </w:rPr>
        <w:t>, T. R. (1995).</w:t>
      </w:r>
      <w:proofErr w:type="gramEnd"/>
      <w:r w:rsidRPr="009D59B1">
        <w:rPr>
          <w:i/>
          <w:sz w:val="20"/>
          <w:szCs w:val="20"/>
        </w:rPr>
        <w:t xml:space="preserve"> </w:t>
      </w:r>
      <w:proofErr w:type="gramStart"/>
      <w:r w:rsidRPr="009D59B1">
        <w:rPr>
          <w:i/>
          <w:sz w:val="20"/>
          <w:szCs w:val="20"/>
        </w:rPr>
        <w:t>Meaningful differences in the everyday experience of young American children</w:t>
      </w:r>
      <w:r w:rsidRPr="009D59B1">
        <w:rPr>
          <w:sz w:val="20"/>
          <w:szCs w:val="20"/>
        </w:rPr>
        <w:t>.</w:t>
      </w:r>
      <w:proofErr w:type="gramEnd"/>
      <w:r w:rsidRPr="009D59B1">
        <w:rPr>
          <w:sz w:val="20"/>
          <w:szCs w:val="20"/>
        </w:rPr>
        <w:t xml:space="preserve"> Baltimore: Paul H. Brookes.</w:t>
      </w:r>
    </w:p>
    <w:p w:rsidR="00FC3FB6" w:rsidRPr="009D59B1" w:rsidRDefault="00FC3FB6" w:rsidP="008014A0">
      <w:pPr>
        <w:jc w:val="both"/>
        <w:rPr>
          <w:sz w:val="20"/>
          <w:szCs w:val="20"/>
          <w:lang w:bidi="en-US"/>
        </w:rPr>
      </w:pPr>
      <w:r w:rsidRPr="009D59B1">
        <w:rPr>
          <w:sz w:val="20"/>
          <w:szCs w:val="20"/>
          <w:lang w:bidi="en-US"/>
        </w:rPr>
        <w:t xml:space="preserve">Ives, B. (2003). </w:t>
      </w:r>
      <w:proofErr w:type="gramStart"/>
      <w:r w:rsidRPr="009D59B1">
        <w:rPr>
          <w:sz w:val="20"/>
          <w:szCs w:val="20"/>
          <w:lang w:bidi="en-US"/>
        </w:rPr>
        <w:t>Effect size use in studies of learning disabilities.</w:t>
      </w:r>
      <w:proofErr w:type="gramEnd"/>
      <w:r w:rsidRPr="009D59B1">
        <w:rPr>
          <w:sz w:val="20"/>
          <w:szCs w:val="20"/>
          <w:lang w:bidi="en-US"/>
        </w:rPr>
        <w:t xml:space="preserve"> </w:t>
      </w:r>
      <w:r w:rsidRPr="009D59B1">
        <w:rPr>
          <w:i/>
          <w:iCs/>
          <w:sz w:val="20"/>
          <w:szCs w:val="20"/>
          <w:lang w:bidi="en-US"/>
        </w:rPr>
        <w:t>Journal of Learning Disabilities, 36</w:t>
      </w:r>
      <w:r w:rsidRPr="009D59B1">
        <w:rPr>
          <w:sz w:val="20"/>
          <w:szCs w:val="20"/>
          <w:lang w:bidi="en-US"/>
        </w:rPr>
        <w:t>(6), 490-504.</w:t>
      </w:r>
    </w:p>
    <w:p w:rsidR="00FC3FB6" w:rsidRPr="009D59B1" w:rsidRDefault="00FC3FB6" w:rsidP="008014A0">
      <w:pPr>
        <w:jc w:val="both"/>
        <w:rPr>
          <w:sz w:val="20"/>
          <w:szCs w:val="20"/>
          <w:lang w:bidi="en-US"/>
        </w:rPr>
      </w:pPr>
      <w:proofErr w:type="spellStart"/>
      <w:proofErr w:type="gramStart"/>
      <w:r w:rsidRPr="009D59B1">
        <w:rPr>
          <w:sz w:val="20"/>
          <w:szCs w:val="20"/>
          <w:lang w:bidi="en-US"/>
        </w:rPr>
        <w:t>Jitendra</w:t>
      </w:r>
      <w:proofErr w:type="spellEnd"/>
      <w:r w:rsidRPr="009D59B1">
        <w:rPr>
          <w:sz w:val="20"/>
          <w:szCs w:val="20"/>
          <w:lang w:bidi="en-US"/>
        </w:rPr>
        <w:t>, A. K., Edwards, L.L., Sacks, G., &amp; Jacobson, L.A. (2004).</w:t>
      </w:r>
      <w:proofErr w:type="gramEnd"/>
      <w:r w:rsidRPr="009D59B1">
        <w:rPr>
          <w:sz w:val="20"/>
          <w:szCs w:val="20"/>
          <w:lang w:bidi="en-US"/>
        </w:rPr>
        <w:t xml:space="preserve"> What Research Says About Vocabulary Instruction for Students with Learning </w:t>
      </w:r>
      <w:proofErr w:type="gramStart"/>
      <w:r w:rsidRPr="009D59B1">
        <w:rPr>
          <w:sz w:val="20"/>
          <w:szCs w:val="20"/>
          <w:lang w:bidi="en-US"/>
        </w:rPr>
        <w:t>Disabilities.</w:t>
      </w:r>
      <w:proofErr w:type="gramEnd"/>
      <w:r w:rsidRPr="009D59B1">
        <w:rPr>
          <w:sz w:val="20"/>
          <w:szCs w:val="20"/>
          <w:lang w:bidi="en-US"/>
        </w:rPr>
        <w:t xml:space="preserve"> </w:t>
      </w:r>
      <w:r w:rsidRPr="009D59B1">
        <w:rPr>
          <w:i/>
          <w:iCs/>
          <w:sz w:val="20"/>
          <w:szCs w:val="20"/>
          <w:lang w:bidi="en-US"/>
        </w:rPr>
        <w:t>Exceptional Children, 70</w:t>
      </w:r>
      <w:r w:rsidRPr="009D59B1">
        <w:rPr>
          <w:sz w:val="20"/>
          <w:szCs w:val="20"/>
          <w:lang w:bidi="en-US"/>
        </w:rPr>
        <w:t>(3), 299-322.</w:t>
      </w:r>
    </w:p>
    <w:p w:rsidR="00FC3FB6" w:rsidRPr="009D59B1" w:rsidRDefault="00FC3FB6" w:rsidP="008014A0">
      <w:pPr>
        <w:jc w:val="both"/>
        <w:rPr>
          <w:sz w:val="20"/>
          <w:szCs w:val="20"/>
        </w:rPr>
      </w:pPr>
      <w:r w:rsidRPr="009D59B1">
        <w:rPr>
          <w:sz w:val="20"/>
          <w:szCs w:val="20"/>
        </w:rPr>
        <w:t xml:space="preserve">King, J. R., &amp; Homan, S. (2003). Early intervention in literacy: An in-class model for teachers. </w:t>
      </w:r>
      <w:proofErr w:type="gramStart"/>
      <w:r w:rsidRPr="009D59B1">
        <w:rPr>
          <w:i/>
          <w:sz w:val="20"/>
          <w:szCs w:val="20"/>
        </w:rPr>
        <w:t>Reading research and instruction, 42</w:t>
      </w:r>
      <w:r w:rsidRPr="009D59B1">
        <w:rPr>
          <w:sz w:val="20"/>
          <w:szCs w:val="20"/>
        </w:rPr>
        <w:t>(3), 32-51.</w:t>
      </w:r>
      <w:proofErr w:type="gramEnd"/>
    </w:p>
    <w:p w:rsidR="00FC3FB6" w:rsidRPr="009D59B1" w:rsidRDefault="00FC3FB6" w:rsidP="008014A0">
      <w:pPr>
        <w:jc w:val="both"/>
        <w:rPr>
          <w:sz w:val="20"/>
          <w:szCs w:val="20"/>
        </w:rPr>
      </w:pPr>
      <w:proofErr w:type="spellStart"/>
      <w:proofErr w:type="gramStart"/>
      <w:r w:rsidRPr="009D59B1">
        <w:rPr>
          <w:sz w:val="20"/>
          <w:szCs w:val="20"/>
        </w:rPr>
        <w:t>Kuo</w:t>
      </w:r>
      <w:proofErr w:type="spellEnd"/>
      <w:r w:rsidRPr="009D59B1">
        <w:rPr>
          <w:sz w:val="20"/>
          <w:szCs w:val="20"/>
        </w:rPr>
        <w:t>, L., &amp; Anderson, R. C. (2006).</w:t>
      </w:r>
      <w:proofErr w:type="gramEnd"/>
      <w:r w:rsidRPr="009D59B1">
        <w:rPr>
          <w:sz w:val="20"/>
          <w:szCs w:val="20"/>
        </w:rPr>
        <w:t xml:space="preserve"> Morphological awareness and learning to read: A cross-language perspective. </w:t>
      </w:r>
      <w:r w:rsidRPr="009D59B1">
        <w:rPr>
          <w:i/>
          <w:sz w:val="20"/>
          <w:szCs w:val="20"/>
        </w:rPr>
        <w:t>Educational Psychologist, 41</w:t>
      </w:r>
      <w:r w:rsidRPr="009D59B1">
        <w:rPr>
          <w:sz w:val="20"/>
          <w:szCs w:val="20"/>
        </w:rPr>
        <w:t>(3), 161-180.</w:t>
      </w:r>
    </w:p>
    <w:p w:rsidR="00FC3FB6" w:rsidRPr="009D59B1" w:rsidRDefault="00FC3FB6" w:rsidP="008014A0">
      <w:pPr>
        <w:jc w:val="both"/>
        <w:rPr>
          <w:sz w:val="20"/>
          <w:szCs w:val="20"/>
        </w:rPr>
      </w:pPr>
      <w:proofErr w:type="spellStart"/>
      <w:proofErr w:type="gramStart"/>
      <w:r w:rsidRPr="009D59B1">
        <w:rPr>
          <w:sz w:val="20"/>
          <w:szCs w:val="20"/>
        </w:rPr>
        <w:t>Leafstedt</w:t>
      </w:r>
      <w:proofErr w:type="spellEnd"/>
      <w:r w:rsidRPr="009D59B1">
        <w:rPr>
          <w:sz w:val="20"/>
          <w:szCs w:val="20"/>
        </w:rPr>
        <w:t>, J. M., Richards, C. M., &amp; Gerber, M. M. (2004).</w:t>
      </w:r>
      <w:proofErr w:type="gramEnd"/>
      <w:r w:rsidRPr="009D59B1">
        <w:rPr>
          <w:sz w:val="20"/>
          <w:szCs w:val="20"/>
        </w:rPr>
        <w:t xml:space="preserve"> </w:t>
      </w:r>
      <w:proofErr w:type="gramStart"/>
      <w:r w:rsidRPr="009D59B1">
        <w:rPr>
          <w:sz w:val="20"/>
          <w:szCs w:val="20"/>
        </w:rPr>
        <w:t>Effectiveness of explicit phonological awareness instruction for at-risk English learners.</w:t>
      </w:r>
      <w:proofErr w:type="gramEnd"/>
      <w:r w:rsidRPr="009D59B1">
        <w:rPr>
          <w:sz w:val="20"/>
          <w:szCs w:val="20"/>
        </w:rPr>
        <w:t xml:space="preserve"> </w:t>
      </w:r>
      <w:r w:rsidRPr="009D59B1">
        <w:rPr>
          <w:i/>
          <w:sz w:val="20"/>
          <w:szCs w:val="20"/>
        </w:rPr>
        <w:t>Learning Disabilities Research and Practice, 19</w:t>
      </w:r>
      <w:r w:rsidRPr="009D59B1">
        <w:rPr>
          <w:sz w:val="20"/>
          <w:szCs w:val="20"/>
        </w:rPr>
        <w:t>(4), 252-261.</w:t>
      </w:r>
    </w:p>
    <w:p w:rsidR="00FC3FB6" w:rsidRPr="009D59B1" w:rsidRDefault="00FC3FB6" w:rsidP="008014A0">
      <w:pPr>
        <w:jc w:val="both"/>
        <w:rPr>
          <w:sz w:val="20"/>
          <w:szCs w:val="20"/>
        </w:rPr>
      </w:pPr>
      <w:proofErr w:type="spellStart"/>
      <w:proofErr w:type="gramStart"/>
      <w:r w:rsidRPr="009D59B1">
        <w:rPr>
          <w:sz w:val="20"/>
          <w:szCs w:val="20"/>
        </w:rPr>
        <w:t>Lesaux</w:t>
      </w:r>
      <w:proofErr w:type="spellEnd"/>
      <w:r w:rsidRPr="009D59B1">
        <w:rPr>
          <w:sz w:val="20"/>
          <w:szCs w:val="20"/>
        </w:rPr>
        <w:t xml:space="preserve">, N., &amp; </w:t>
      </w:r>
      <w:proofErr w:type="spellStart"/>
      <w:r w:rsidRPr="009D59B1">
        <w:rPr>
          <w:sz w:val="20"/>
          <w:szCs w:val="20"/>
        </w:rPr>
        <w:t>Geva</w:t>
      </w:r>
      <w:proofErr w:type="spellEnd"/>
      <w:r w:rsidRPr="009D59B1">
        <w:rPr>
          <w:sz w:val="20"/>
          <w:szCs w:val="20"/>
        </w:rPr>
        <w:t>, E. (2006).</w:t>
      </w:r>
      <w:proofErr w:type="gramEnd"/>
      <w:r w:rsidRPr="009D59B1">
        <w:rPr>
          <w:sz w:val="20"/>
          <w:szCs w:val="20"/>
        </w:rPr>
        <w:t xml:space="preserve"> Synthesis: Development of literacy in language minority students. </w:t>
      </w:r>
      <w:proofErr w:type="gramStart"/>
      <w:r w:rsidRPr="009D59B1">
        <w:rPr>
          <w:sz w:val="20"/>
          <w:szCs w:val="20"/>
        </w:rPr>
        <w:t xml:space="preserve">In D. August &amp; T. Shanahan (Eds.), </w:t>
      </w:r>
      <w:r w:rsidRPr="009D59B1">
        <w:rPr>
          <w:i/>
          <w:sz w:val="20"/>
          <w:szCs w:val="20"/>
        </w:rPr>
        <w:t>Developing Literacy in Second-Language Learners</w:t>
      </w:r>
      <w:r w:rsidRPr="009D59B1">
        <w:rPr>
          <w:sz w:val="20"/>
          <w:szCs w:val="20"/>
        </w:rPr>
        <w:t xml:space="preserve"> (pp. 53-74).</w:t>
      </w:r>
      <w:proofErr w:type="gramEnd"/>
      <w:r w:rsidRPr="009D59B1">
        <w:rPr>
          <w:sz w:val="20"/>
          <w:szCs w:val="20"/>
        </w:rPr>
        <w:t xml:space="preserve"> Mahwah, NJ: Erlbaum.</w:t>
      </w:r>
    </w:p>
    <w:p w:rsidR="00FC3FB6" w:rsidRPr="009D59B1" w:rsidRDefault="00FC3FB6" w:rsidP="008014A0">
      <w:pPr>
        <w:jc w:val="both"/>
        <w:rPr>
          <w:sz w:val="20"/>
          <w:szCs w:val="20"/>
        </w:rPr>
      </w:pPr>
      <w:proofErr w:type="spellStart"/>
      <w:r w:rsidRPr="009D59B1">
        <w:rPr>
          <w:sz w:val="20"/>
          <w:szCs w:val="20"/>
        </w:rPr>
        <w:t>Linan</w:t>
      </w:r>
      <w:proofErr w:type="spellEnd"/>
      <w:r w:rsidRPr="009D59B1">
        <w:rPr>
          <w:sz w:val="20"/>
          <w:szCs w:val="20"/>
        </w:rPr>
        <w:t xml:space="preserve">-Thompson, S., Vaughn, S., Hickman-Davis, P., &amp; </w:t>
      </w:r>
      <w:proofErr w:type="spellStart"/>
      <w:r w:rsidRPr="009D59B1">
        <w:rPr>
          <w:sz w:val="20"/>
          <w:szCs w:val="20"/>
        </w:rPr>
        <w:t>Kouzekanani</w:t>
      </w:r>
      <w:proofErr w:type="spellEnd"/>
      <w:r w:rsidRPr="009D59B1">
        <w:rPr>
          <w:sz w:val="20"/>
          <w:szCs w:val="20"/>
        </w:rPr>
        <w:t xml:space="preserve">, K. (2003). </w:t>
      </w:r>
      <w:proofErr w:type="gramStart"/>
      <w:r w:rsidRPr="009D59B1">
        <w:rPr>
          <w:sz w:val="20"/>
          <w:szCs w:val="20"/>
        </w:rPr>
        <w:t>Effectiveness of supplemental reading instruction for second-grade English language learners with reading difficulties.</w:t>
      </w:r>
      <w:proofErr w:type="gramEnd"/>
      <w:r w:rsidRPr="009D59B1">
        <w:rPr>
          <w:sz w:val="20"/>
          <w:szCs w:val="20"/>
        </w:rPr>
        <w:t xml:space="preserve"> </w:t>
      </w:r>
      <w:r w:rsidRPr="009D59B1">
        <w:rPr>
          <w:i/>
          <w:sz w:val="20"/>
          <w:szCs w:val="20"/>
        </w:rPr>
        <w:t>The Elementary School Journal, 103</w:t>
      </w:r>
      <w:r w:rsidRPr="009D59B1">
        <w:rPr>
          <w:sz w:val="20"/>
          <w:szCs w:val="20"/>
        </w:rPr>
        <w:t>, 221-238.</w:t>
      </w:r>
    </w:p>
    <w:p w:rsidR="00FC3FB6" w:rsidRPr="009D59B1" w:rsidRDefault="00FC3FB6" w:rsidP="008014A0">
      <w:pPr>
        <w:widowControl w:val="0"/>
        <w:autoSpaceDE w:val="0"/>
        <w:autoSpaceDN w:val="0"/>
        <w:adjustRightInd w:val="0"/>
        <w:jc w:val="both"/>
        <w:rPr>
          <w:sz w:val="20"/>
          <w:szCs w:val="20"/>
        </w:rPr>
      </w:pPr>
      <w:proofErr w:type="spellStart"/>
      <w:r w:rsidRPr="009D59B1">
        <w:rPr>
          <w:sz w:val="20"/>
          <w:szCs w:val="20"/>
        </w:rPr>
        <w:t>Lovitt</w:t>
      </w:r>
      <w:proofErr w:type="spellEnd"/>
      <w:r w:rsidRPr="009D59B1">
        <w:rPr>
          <w:sz w:val="20"/>
          <w:szCs w:val="20"/>
        </w:rPr>
        <w:t xml:space="preserve">, T. C., &amp; Horton, S. V. (1994). </w:t>
      </w:r>
      <w:proofErr w:type="gramStart"/>
      <w:r w:rsidRPr="009D59B1">
        <w:rPr>
          <w:sz w:val="20"/>
          <w:szCs w:val="20"/>
        </w:rPr>
        <w:t>Strategies for adapting science textbooks for youth with learning disabilities.</w:t>
      </w:r>
      <w:proofErr w:type="gramEnd"/>
      <w:r w:rsidRPr="009D59B1">
        <w:rPr>
          <w:sz w:val="20"/>
          <w:szCs w:val="20"/>
        </w:rPr>
        <w:t xml:space="preserve"> </w:t>
      </w:r>
      <w:r w:rsidRPr="009D59B1">
        <w:rPr>
          <w:i/>
          <w:iCs/>
          <w:sz w:val="20"/>
          <w:szCs w:val="20"/>
        </w:rPr>
        <w:t>RASE: Remedial &amp; Special Education, 15</w:t>
      </w:r>
      <w:r w:rsidRPr="009D59B1">
        <w:rPr>
          <w:sz w:val="20"/>
          <w:szCs w:val="20"/>
        </w:rPr>
        <w:t>(2), 105-116.</w:t>
      </w:r>
    </w:p>
    <w:p w:rsidR="00FC3FB6" w:rsidRPr="009D59B1" w:rsidRDefault="00FC3FB6" w:rsidP="008014A0">
      <w:pPr>
        <w:jc w:val="both"/>
        <w:rPr>
          <w:sz w:val="20"/>
          <w:szCs w:val="20"/>
        </w:rPr>
      </w:pPr>
      <w:proofErr w:type="spellStart"/>
      <w:proofErr w:type="gramStart"/>
      <w:r w:rsidRPr="009D59B1">
        <w:rPr>
          <w:sz w:val="20"/>
          <w:szCs w:val="20"/>
        </w:rPr>
        <w:t>Lubliner</w:t>
      </w:r>
      <w:proofErr w:type="spellEnd"/>
      <w:r w:rsidRPr="009D59B1">
        <w:rPr>
          <w:sz w:val="20"/>
          <w:szCs w:val="20"/>
        </w:rPr>
        <w:t>, S., &amp; Smetana, L. (2005).</w:t>
      </w:r>
      <w:proofErr w:type="gramEnd"/>
      <w:r w:rsidRPr="009D59B1">
        <w:rPr>
          <w:sz w:val="20"/>
          <w:szCs w:val="20"/>
        </w:rPr>
        <w:t xml:space="preserve"> The effects of comprehensive vocabulary instruction on Title I students' </w:t>
      </w:r>
      <w:proofErr w:type="spellStart"/>
      <w:r w:rsidRPr="009D59B1">
        <w:rPr>
          <w:sz w:val="20"/>
          <w:szCs w:val="20"/>
        </w:rPr>
        <w:t>metacognitive</w:t>
      </w:r>
      <w:proofErr w:type="spellEnd"/>
      <w:r w:rsidRPr="009D59B1">
        <w:rPr>
          <w:sz w:val="20"/>
          <w:szCs w:val="20"/>
        </w:rPr>
        <w:t xml:space="preserve"> word-learning skills and reading comprehension. </w:t>
      </w:r>
      <w:r w:rsidRPr="009D59B1">
        <w:rPr>
          <w:i/>
          <w:iCs/>
          <w:sz w:val="20"/>
          <w:szCs w:val="20"/>
        </w:rPr>
        <w:t>Journal of Literacy Research, 37</w:t>
      </w:r>
      <w:r w:rsidRPr="009D59B1">
        <w:rPr>
          <w:sz w:val="20"/>
          <w:szCs w:val="20"/>
        </w:rPr>
        <w:t xml:space="preserve">(2), 163-200. </w:t>
      </w:r>
    </w:p>
    <w:p w:rsidR="00FC3FB6" w:rsidRPr="009D59B1" w:rsidRDefault="00FC3FB6" w:rsidP="008014A0">
      <w:pPr>
        <w:jc w:val="both"/>
        <w:rPr>
          <w:sz w:val="20"/>
          <w:szCs w:val="20"/>
        </w:rPr>
      </w:pPr>
      <w:proofErr w:type="spellStart"/>
      <w:proofErr w:type="gramStart"/>
      <w:r w:rsidRPr="009D59B1">
        <w:rPr>
          <w:sz w:val="20"/>
          <w:szCs w:val="20"/>
        </w:rPr>
        <w:t>Margosein</w:t>
      </w:r>
      <w:proofErr w:type="spellEnd"/>
      <w:r w:rsidRPr="009D59B1">
        <w:rPr>
          <w:sz w:val="20"/>
          <w:szCs w:val="20"/>
        </w:rPr>
        <w:t xml:space="preserve">, C. M., </w:t>
      </w:r>
      <w:proofErr w:type="spellStart"/>
      <w:r w:rsidRPr="009D59B1">
        <w:rPr>
          <w:sz w:val="20"/>
          <w:szCs w:val="20"/>
        </w:rPr>
        <w:t>Pascarella</w:t>
      </w:r>
      <w:proofErr w:type="spellEnd"/>
      <w:r w:rsidRPr="009D59B1">
        <w:rPr>
          <w:sz w:val="20"/>
          <w:szCs w:val="20"/>
        </w:rPr>
        <w:t xml:space="preserve">, E. T., &amp; </w:t>
      </w:r>
      <w:proofErr w:type="spellStart"/>
      <w:r w:rsidRPr="009D59B1">
        <w:rPr>
          <w:sz w:val="20"/>
          <w:szCs w:val="20"/>
        </w:rPr>
        <w:t>Pflaum</w:t>
      </w:r>
      <w:proofErr w:type="spellEnd"/>
      <w:r w:rsidRPr="009D59B1">
        <w:rPr>
          <w:sz w:val="20"/>
          <w:szCs w:val="20"/>
        </w:rPr>
        <w:t>, S. W. (1981).</w:t>
      </w:r>
      <w:proofErr w:type="gramEnd"/>
      <w:r w:rsidRPr="009D59B1">
        <w:rPr>
          <w:sz w:val="20"/>
          <w:szCs w:val="20"/>
        </w:rPr>
        <w:t xml:space="preserve"> </w:t>
      </w:r>
      <w:proofErr w:type="gramStart"/>
      <w:r w:rsidRPr="009D59B1">
        <w:rPr>
          <w:sz w:val="20"/>
          <w:szCs w:val="20"/>
        </w:rPr>
        <w:t>The effects of instruction using semantic mapping on vocabulary and comprehension.</w:t>
      </w:r>
      <w:proofErr w:type="gramEnd"/>
      <w:r w:rsidRPr="009D59B1">
        <w:rPr>
          <w:sz w:val="20"/>
          <w:szCs w:val="20"/>
        </w:rPr>
        <w:t xml:space="preserve"> . </w:t>
      </w:r>
      <w:r w:rsidRPr="009D59B1">
        <w:rPr>
          <w:i/>
          <w:iCs/>
          <w:sz w:val="20"/>
          <w:szCs w:val="20"/>
        </w:rPr>
        <w:t>Journal of Early Adolescence, 2</w:t>
      </w:r>
      <w:r w:rsidRPr="009D59B1">
        <w:rPr>
          <w:sz w:val="20"/>
          <w:szCs w:val="20"/>
        </w:rPr>
        <w:t xml:space="preserve">, 185-194. </w:t>
      </w:r>
    </w:p>
    <w:p w:rsidR="00FC3FB6" w:rsidRPr="009D59B1" w:rsidRDefault="00FC3FB6" w:rsidP="008014A0">
      <w:pPr>
        <w:jc w:val="both"/>
        <w:rPr>
          <w:sz w:val="20"/>
          <w:szCs w:val="20"/>
        </w:rPr>
      </w:pPr>
      <w:proofErr w:type="spellStart"/>
      <w:proofErr w:type="gramStart"/>
      <w:r w:rsidRPr="009D59B1">
        <w:rPr>
          <w:sz w:val="20"/>
          <w:szCs w:val="20"/>
        </w:rPr>
        <w:t>McCardle</w:t>
      </w:r>
      <w:proofErr w:type="spellEnd"/>
      <w:r w:rsidRPr="009D59B1">
        <w:rPr>
          <w:sz w:val="20"/>
          <w:szCs w:val="20"/>
        </w:rPr>
        <w:t xml:space="preserve">, P., Scarborough, H. S., &amp; </w:t>
      </w:r>
      <w:proofErr w:type="spellStart"/>
      <w:r w:rsidRPr="009D59B1">
        <w:rPr>
          <w:sz w:val="20"/>
          <w:szCs w:val="20"/>
        </w:rPr>
        <w:t>Catts</w:t>
      </w:r>
      <w:proofErr w:type="spellEnd"/>
      <w:r w:rsidRPr="009D59B1">
        <w:rPr>
          <w:sz w:val="20"/>
          <w:szCs w:val="20"/>
        </w:rPr>
        <w:t>, H. W. (2001).</w:t>
      </w:r>
      <w:proofErr w:type="gramEnd"/>
      <w:r w:rsidRPr="009D59B1">
        <w:rPr>
          <w:sz w:val="20"/>
          <w:szCs w:val="20"/>
        </w:rPr>
        <w:t xml:space="preserve"> Predicting, Explaining, and Preventing Children's Reading Difficulties. </w:t>
      </w:r>
      <w:r w:rsidRPr="009D59B1">
        <w:rPr>
          <w:i/>
          <w:sz w:val="20"/>
          <w:szCs w:val="20"/>
        </w:rPr>
        <w:t>Learning Disabilities Research &amp; Practice, 16</w:t>
      </w:r>
      <w:r w:rsidRPr="009D59B1">
        <w:rPr>
          <w:sz w:val="20"/>
          <w:szCs w:val="20"/>
        </w:rPr>
        <w:t>(4), 230-239.</w:t>
      </w:r>
    </w:p>
    <w:p w:rsidR="00FC3FB6" w:rsidRPr="009D59B1" w:rsidRDefault="00FC3FB6" w:rsidP="008014A0">
      <w:pPr>
        <w:jc w:val="both"/>
        <w:rPr>
          <w:sz w:val="20"/>
          <w:szCs w:val="20"/>
        </w:rPr>
      </w:pPr>
      <w:proofErr w:type="gramStart"/>
      <w:r w:rsidRPr="009D59B1">
        <w:rPr>
          <w:sz w:val="20"/>
          <w:szCs w:val="20"/>
        </w:rPr>
        <w:t>McLaughlin, B., August, D., Snow, C., Carlo, M., Dressler, C., White, C. (2000).</w:t>
      </w:r>
      <w:proofErr w:type="gramEnd"/>
      <w:r w:rsidRPr="009D59B1">
        <w:rPr>
          <w:sz w:val="20"/>
          <w:szCs w:val="20"/>
        </w:rPr>
        <w:t xml:space="preserve"> Vocabulary improvement and reading in English language learners: An intervention study. In </w:t>
      </w:r>
      <w:r w:rsidRPr="009D59B1">
        <w:rPr>
          <w:i/>
          <w:sz w:val="20"/>
          <w:szCs w:val="20"/>
        </w:rPr>
        <w:t>A Research Symposium on High Standards in Reading for Students from Diverse Language Groups: Research, Practice, &amp; Policy</w:t>
      </w:r>
      <w:r w:rsidRPr="009D59B1">
        <w:rPr>
          <w:sz w:val="20"/>
          <w:szCs w:val="20"/>
        </w:rPr>
        <w:t xml:space="preserve"> (pp. 129-143). Washington, DC: U.S. Department of Education, OBEMLA.</w:t>
      </w:r>
    </w:p>
    <w:p w:rsidR="00FC3FB6" w:rsidRPr="009D59B1" w:rsidRDefault="00FC3FB6" w:rsidP="008014A0">
      <w:pPr>
        <w:jc w:val="both"/>
        <w:rPr>
          <w:sz w:val="20"/>
          <w:szCs w:val="20"/>
        </w:rPr>
      </w:pPr>
      <w:proofErr w:type="gramStart"/>
      <w:r w:rsidRPr="009D59B1">
        <w:rPr>
          <w:sz w:val="20"/>
          <w:szCs w:val="20"/>
        </w:rPr>
        <w:t>McMaster, K. L., Kung, S., Han, I., &amp; Cao, M. (2008).</w:t>
      </w:r>
      <w:proofErr w:type="gramEnd"/>
      <w:r w:rsidRPr="009D59B1">
        <w:rPr>
          <w:sz w:val="20"/>
          <w:szCs w:val="20"/>
        </w:rPr>
        <w:t xml:space="preserve"> Peer-assisted learning strategies: A </w:t>
      </w:r>
      <w:r w:rsidRPr="008014A0">
        <w:rPr>
          <w:i/>
          <w:sz w:val="20"/>
          <w:szCs w:val="20"/>
        </w:rPr>
        <w:t>Tier 1</w:t>
      </w:r>
      <w:r w:rsidRPr="009D59B1">
        <w:rPr>
          <w:sz w:val="20"/>
          <w:szCs w:val="20"/>
        </w:rPr>
        <w:t xml:space="preserve"> approach to promoting English learners' response to intervention. </w:t>
      </w:r>
      <w:r w:rsidRPr="009D59B1">
        <w:rPr>
          <w:i/>
          <w:sz w:val="20"/>
          <w:szCs w:val="20"/>
        </w:rPr>
        <w:t>Exceptional Children, 74</w:t>
      </w:r>
      <w:r w:rsidRPr="009D59B1">
        <w:rPr>
          <w:sz w:val="20"/>
          <w:szCs w:val="20"/>
        </w:rPr>
        <w:t>(2), 194-214.</w:t>
      </w:r>
    </w:p>
    <w:p w:rsidR="00FC3FB6" w:rsidRPr="009D59B1" w:rsidRDefault="00FC3FB6" w:rsidP="008014A0">
      <w:pPr>
        <w:jc w:val="both"/>
        <w:rPr>
          <w:sz w:val="20"/>
          <w:szCs w:val="20"/>
        </w:rPr>
      </w:pPr>
      <w:proofErr w:type="gramStart"/>
      <w:r w:rsidRPr="009D59B1">
        <w:rPr>
          <w:sz w:val="20"/>
          <w:szCs w:val="20"/>
        </w:rPr>
        <w:t xml:space="preserve">Nagy, W., </w:t>
      </w:r>
      <w:proofErr w:type="spellStart"/>
      <w:r w:rsidRPr="009D59B1">
        <w:rPr>
          <w:sz w:val="20"/>
          <w:szCs w:val="20"/>
        </w:rPr>
        <w:t>Berninger</w:t>
      </w:r>
      <w:proofErr w:type="spellEnd"/>
      <w:r w:rsidRPr="009D59B1">
        <w:rPr>
          <w:sz w:val="20"/>
          <w:szCs w:val="20"/>
        </w:rPr>
        <w:t>, V. W., &amp; Abbott, R. D. (2006).</w:t>
      </w:r>
      <w:proofErr w:type="gramEnd"/>
      <w:r w:rsidRPr="009D59B1">
        <w:rPr>
          <w:sz w:val="20"/>
          <w:szCs w:val="20"/>
        </w:rPr>
        <w:t xml:space="preserve"> Contributions of morphology beyond phonology to literacy outcomes of upper elementary </w:t>
      </w:r>
      <w:proofErr w:type="spellStart"/>
      <w:proofErr w:type="gramStart"/>
      <w:r w:rsidRPr="009D59B1">
        <w:rPr>
          <w:sz w:val="20"/>
          <w:szCs w:val="20"/>
        </w:rPr>
        <w:t>an</w:t>
      </w:r>
      <w:proofErr w:type="spellEnd"/>
      <w:proofErr w:type="gramEnd"/>
      <w:r w:rsidRPr="009D59B1">
        <w:rPr>
          <w:sz w:val="20"/>
          <w:szCs w:val="20"/>
        </w:rPr>
        <w:t xml:space="preserve"> middle-school students. </w:t>
      </w:r>
      <w:r w:rsidRPr="009D59B1">
        <w:rPr>
          <w:i/>
          <w:sz w:val="20"/>
          <w:szCs w:val="20"/>
        </w:rPr>
        <w:t>Journal of Educational Psychology, 98</w:t>
      </w:r>
      <w:r w:rsidRPr="009D59B1">
        <w:rPr>
          <w:sz w:val="20"/>
          <w:szCs w:val="20"/>
        </w:rPr>
        <w:t>(1), 134-147.</w:t>
      </w:r>
    </w:p>
    <w:p w:rsidR="00FC3FB6" w:rsidRPr="009D59B1" w:rsidRDefault="00FC3FB6" w:rsidP="008014A0">
      <w:pPr>
        <w:jc w:val="both"/>
        <w:rPr>
          <w:sz w:val="20"/>
          <w:szCs w:val="20"/>
        </w:rPr>
      </w:pPr>
      <w:proofErr w:type="gramStart"/>
      <w:r w:rsidRPr="009D59B1">
        <w:rPr>
          <w:sz w:val="20"/>
          <w:szCs w:val="20"/>
        </w:rPr>
        <w:t xml:space="preserve">Nagy, W., </w:t>
      </w:r>
      <w:proofErr w:type="spellStart"/>
      <w:r w:rsidRPr="009D59B1">
        <w:rPr>
          <w:sz w:val="20"/>
          <w:szCs w:val="20"/>
        </w:rPr>
        <w:t>Berninger</w:t>
      </w:r>
      <w:proofErr w:type="spellEnd"/>
      <w:r w:rsidRPr="009D59B1">
        <w:rPr>
          <w:sz w:val="20"/>
          <w:szCs w:val="20"/>
        </w:rPr>
        <w:t xml:space="preserve">, V., Abbott, R., Vaughan, K., &amp; </w:t>
      </w:r>
      <w:proofErr w:type="spellStart"/>
      <w:r w:rsidRPr="009D59B1">
        <w:rPr>
          <w:sz w:val="20"/>
          <w:szCs w:val="20"/>
        </w:rPr>
        <w:t>Vermeulen</w:t>
      </w:r>
      <w:proofErr w:type="spellEnd"/>
      <w:r w:rsidRPr="009D59B1">
        <w:rPr>
          <w:sz w:val="20"/>
          <w:szCs w:val="20"/>
        </w:rPr>
        <w:t>, K. (2003).</w:t>
      </w:r>
      <w:proofErr w:type="gramEnd"/>
      <w:r w:rsidRPr="009D59B1">
        <w:rPr>
          <w:sz w:val="20"/>
          <w:szCs w:val="20"/>
        </w:rPr>
        <w:t xml:space="preserve"> </w:t>
      </w:r>
      <w:proofErr w:type="gramStart"/>
      <w:r w:rsidRPr="009D59B1">
        <w:rPr>
          <w:sz w:val="20"/>
          <w:szCs w:val="20"/>
        </w:rPr>
        <w:t>Relationship of morphology and other language skills to literacy skills in at-risk second-grade readers and at-risk fourth-grade writers.</w:t>
      </w:r>
      <w:proofErr w:type="gramEnd"/>
      <w:r w:rsidRPr="009D59B1">
        <w:rPr>
          <w:sz w:val="20"/>
          <w:szCs w:val="20"/>
        </w:rPr>
        <w:t xml:space="preserve"> </w:t>
      </w:r>
      <w:r w:rsidRPr="009D59B1">
        <w:rPr>
          <w:i/>
          <w:sz w:val="20"/>
          <w:szCs w:val="20"/>
        </w:rPr>
        <w:t>Journal of Educational Psychology, 95</w:t>
      </w:r>
      <w:r w:rsidRPr="009D59B1">
        <w:rPr>
          <w:sz w:val="20"/>
          <w:szCs w:val="20"/>
        </w:rPr>
        <w:t>(4), 730-742.</w:t>
      </w:r>
    </w:p>
    <w:p w:rsidR="00FC3FB6" w:rsidRPr="009D59B1" w:rsidRDefault="00FC3FB6" w:rsidP="008014A0">
      <w:pPr>
        <w:jc w:val="both"/>
        <w:rPr>
          <w:sz w:val="20"/>
          <w:szCs w:val="20"/>
          <w:lang w:bidi="en-US"/>
        </w:rPr>
      </w:pPr>
      <w:proofErr w:type="gramStart"/>
      <w:r w:rsidRPr="009D59B1">
        <w:rPr>
          <w:sz w:val="20"/>
          <w:szCs w:val="20"/>
          <w:lang w:bidi="en-US"/>
        </w:rPr>
        <w:lastRenderedPageBreak/>
        <w:t>Nagy, W., &amp; Scott, J. (2000).</w:t>
      </w:r>
      <w:proofErr w:type="gramEnd"/>
      <w:r w:rsidRPr="009D59B1">
        <w:rPr>
          <w:sz w:val="20"/>
          <w:szCs w:val="20"/>
          <w:lang w:bidi="en-US"/>
        </w:rPr>
        <w:t xml:space="preserve"> Vocabulary Processes. In P. M. M. </w:t>
      </w:r>
      <w:proofErr w:type="spellStart"/>
      <w:r w:rsidRPr="009D59B1">
        <w:rPr>
          <w:sz w:val="20"/>
          <w:szCs w:val="20"/>
          <w:lang w:bidi="en-US"/>
        </w:rPr>
        <w:t>Kamil</w:t>
      </w:r>
      <w:proofErr w:type="spellEnd"/>
      <w:r w:rsidRPr="009D59B1">
        <w:rPr>
          <w:sz w:val="20"/>
          <w:szCs w:val="20"/>
          <w:lang w:bidi="en-US"/>
        </w:rPr>
        <w:t xml:space="preserve">, </w:t>
      </w:r>
      <w:proofErr w:type="spellStart"/>
      <w:r w:rsidRPr="009D59B1">
        <w:rPr>
          <w:sz w:val="20"/>
          <w:szCs w:val="20"/>
          <w:lang w:bidi="en-US"/>
        </w:rPr>
        <w:t>P.D.</w:t>
      </w:r>
      <w:proofErr w:type="spellEnd"/>
      <w:r w:rsidRPr="009D59B1">
        <w:rPr>
          <w:sz w:val="20"/>
          <w:szCs w:val="20"/>
          <w:lang w:bidi="en-US"/>
        </w:rPr>
        <w:t xml:space="preserve"> Pearson, &amp; R. Barr (Ed.), </w:t>
      </w:r>
      <w:r w:rsidRPr="009D59B1">
        <w:rPr>
          <w:i/>
          <w:iCs/>
          <w:sz w:val="20"/>
          <w:szCs w:val="20"/>
          <w:lang w:bidi="en-US"/>
        </w:rPr>
        <w:t>Handbook of Reading Research, Volume III</w:t>
      </w:r>
      <w:r w:rsidRPr="009D59B1">
        <w:rPr>
          <w:sz w:val="20"/>
          <w:szCs w:val="20"/>
          <w:lang w:bidi="en-US"/>
        </w:rPr>
        <w:t>. Mahwah, NJ: Erlbaum.</w:t>
      </w:r>
    </w:p>
    <w:p w:rsidR="00FC3FB6" w:rsidRPr="009D59B1" w:rsidRDefault="00FC3FB6" w:rsidP="008014A0">
      <w:pPr>
        <w:jc w:val="both"/>
        <w:rPr>
          <w:sz w:val="20"/>
          <w:szCs w:val="20"/>
        </w:rPr>
      </w:pPr>
      <w:proofErr w:type="gramStart"/>
      <w:r w:rsidRPr="009D59B1">
        <w:rPr>
          <w:sz w:val="20"/>
          <w:szCs w:val="20"/>
        </w:rPr>
        <w:t>National Institutes of Health [NIH].</w:t>
      </w:r>
      <w:proofErr w:type="gramEnd"/>
      <w:r w:rsidRPr="009D59B1">
        <w:rPr>
          <w:sz w:val="20"/>
          <w:szCs w:val="20"/>
        </w:rPr>
        <w:t xml:space="preserve"> </w:t>
      </w:r>
      <w:proofErr w:type="gramStart"/>
      <w:r w:rsidRPr="009D59B1">
        <w:rPr>
          <w:sz w:val="20"/>
          <w:szCs w:val="20"/>
        </w:rPr>
        <w:t xml:space="preserve">(2000). </w:t>
      </w:r>
      <w:r w:rsidRPr="009D59B1">
        <w:rPr>
          <w:i/>
          <w:sz w:val="20"/>
          <w:szCs w:val="20"/>
        </w:rPr>
        <w:t>Report of the National Reading Panel.</w:t>
      </w:r>
      <w:proofErr w:type="gramEnd"/>
      <w:r w:rsidRPr="009D59B1">
        <w:rPr>
          <w:i/>
          <w:sz w:val="20"/>
          <w:szCs w:val="20"/>
        </w:rPr>
        <w:t xml:space="preserve"> Teaching children to read: An evidence-based assessment of the scientific research literature on reading and its implications for reading instruction</w:t>
      </w:r>
      <w:r w:rsidRPr="009D59B1">
        <w:rPr>
          <w:sz w:val="20"/>
          <w:szCs w:val="20"/>
        </w:rPr>
        <w:t xml:space="preserve"> (No. 00-4769). Bethesda, MD.</w:t>
      </w:r>
    </w:p>
    <w:p w:rsidR="00FC3FB6" w:rsidRPr="009D59B1" w:rsidRDefault="00FC3FB6" w:rsidP="008014A0">
      <w:pPr>
        <w:widowControl w:val="0"/>
        <w:autoSpaceDE w:val="0"/>
        <w:autoSpaceDN w:val="0"/>
        <w:adjustRightInd w:val="0"/>
        <w:jc w:val="both"/>
        <w:rPr>
          <w:sz w:val="20"/>
          <w:szCs w:val="20"/>
        </w:rPr>
      </w:pPr>
      <w:proofErr w:type="gramStart"/>
      <w:r w:rsidRPr="009D59B1">
        <w:rPr>
          <w:sz w:val="20"/>
          <w:szCs w:val="20"/>
        </w:rPr>
        <w:t>Reed, D. K. (2008).</w:t>
      </w:r>
      <w:proofErr w:type="gramEnd"/>
      <w:r w:rsidRPr="009D59B1">
        <w:rPr>
          <w:sz w:val="20"/>
          <w:szCs w:val="20"/>
        </w:rPr>
        <w:t xml:space="preserve"> A synthesis of morphology interventions and effects on reading outcomes for students in grades K-12. </w:t>
      </w:r>
      <w:proofErr w:type="gramStart"/>
      <w:r w:rsidRPr="009D59B1">
        <w:rPr>
          <w:i/>
          <w:iCs/>
          <w:sz w:val="20"/>
          <w:szCs w:val="20"/>
        </w:rPr>
        <w:t>Learning Disabilities Research and Practice, 23</w:t>
      </w:r>
      <w:r w:rsidRPr="009D59B1">
        <w:rPr>
          <w:sz w:val="20"/>
          <w:szCs w:val="20"/>
        </w:rPr>
        <w:t>(1), 36.</w:t>
      </w:r>
      <w:proofErr w:type="gramEnd"/>
    </w:p>
    <w:p w:rsidR="00FC3FB6" w:rsidRPr="009D59B1" w:rsidRDefault="00FC3FB6" w:rsidP="008014A0">
      <w:pPr>
        <w:jc w:val="both"/>
        <w:rPr>
          <w:sz w:val="20"/>
          <w:szCs w:val="20"/>
        </w:rPr>
      </w:pPr>
      <w:proofErr w:type="gramStart"/>
      <w:r w:rsidRPr="009D59B1">
        <w:rPr>
          <w:sz w:val="20"/>
          <w:szCs w:val="20"/>
        </w:rPr>
        <w:t xml:space="preserve">Richards, C. &amp; </w:t>
      </w:r>
      <w:proofErr w:type="spellStart"/>
      <w:r w:rsidRPr="009D59B1">
        <w:rPr>
          <w:sz w:val="20"/>
          <w:szCs w:val="20"/>
        </w:rPr>
        <w:t>Leafstedt</w:t>
      </w:r>
      <w:proofErr w:type="spellEnd"/>
      <w:r w:rsidRPr="009D59B1">
        <w:rPr>
          <w:sz w:val="20"/>
          <w:szCs w:val="20"/>
        </w:rPr>
        <w:t xml:space="preserve">, </w:t>
      </w:r>
      <w:proofErr w:type="spellStart"/>
      <w:r w:rsidRPr="009D59B1">
        <w:rPr>
          <w:sz w:val="20"/>
          <w:szCs w:val="20"/>
        </w:rPr>
        <w:t>J.M.</w:t>
      </w:r>
      <w:proofErr w:type="spellEnd"/>
      <w:r w:rsidRPr="009D59B1">
        <w:rPr>
          <w:sz w:val="20"/>
          <w:szCs w:val="20"/>
        </w:rPr>
        <w:t xml:space="preserve"> (2010).</w:t>
      </w:r>
      <w:proofErr w:type="gramEnd"/>
      <w:r w:rsidRPr="009D59B1">
        <w:rPr>
          <w:sz w:val="20"/>
          <w:szCs w:val="20"/>
        </w:rPr>
        <w:t xml:space="preserve"> </w:t>
      </w:r>
      <w:proofErr w:type="gramStart"/>
      <w:r w:rsidRPr="009D59B1">
        <w:rPr>
          <w:i/>
          <w:sz w:val="20"/>
          <w:szCs w:val="20"/>
        </w:rPr>
        <w:t>Early Reading Intervention: Strategies and Methods for Struggling Readers.</w:t>
      </w:r>
      <w:proofErr w:type="gramEnd"/>
      <w:r w:rsidRPr="009D59B1">
        <w:rPr>
          <w:sz w:val="20"/>
          <w:szCs w:val="20"/>
        </w:rPr>
        <w:t xml:space="preserve"> Boston, MA: Pearson.</w:t>
      </w:r>
    </w:p>
    <w:p w:rsidR="00FC3FB6" w:rsidRPr="009D59B1" w:rsidRDefault="00FC3FB6" w:rsidP="008014A0">
      <w:pPr>
        <w:jc w:val="both"/>
        <w:rPr>
          <w:sz w:val="20"/>
          <w:szCs w:val="20"/>
        </w:rPr>
      </w:pPr>
      <w:r w:rsidRPr="009D59B1">
        <w:rPr>
          <w:sz w:val="20"/>
          <w:szCs w:val="20"/>
        </w:rPr>
        <w:t xml:space="preserve">Rosenthal, R. (1994). Parametric measures of effect size. In H. Cooper &amp; L. V. Hedges (Eds.), </w:t>
      </w:r>
      <w:proofErr w:type="gramStart"/>
      <w:r w:rsidRPr="009D59B1">
        <w:rPr>
          <w:i/>
          <w:sz w:val="20"/>
          <w:szCs w:val="20"/>
        </w:rPr>
        <w:t>The</w:t>
      </w:r>
      <w:proofErr w:type="gramEnd"/>
      <w:r w:rsidRPr="009D59B1">
        <w:rPr>
          <w:i/>
          <w:sz w:val="20"/>
          <w:szCs w:val="20"/>
        </w:rPr>
        <w:t xml:space="preserve"> Handbook of Research Synthesis</w:t>
      </w:r>
      <w:r w:rsidRPr="009D59B1">
        <w:rPr>
          <w:sz w:val="20"/>
          <w:szCs w:val="20"/>
        </w:rPr>
        <w:t xml:space="preserve"> (pp. 231-244). New York, NY: Russell Sage Foundation.</w:t>
      </w:r>
    </w:p>
    <w:p w:rsidR="00FC3FB6" w:rsidRPr="009D59B1" w:rsidRDefault="00FC3FB6" w:rsidP="008014A0">
      <w:pPr>
        <w:jc w:val="both"/>
        <w:rPr>
          <w:sz w:val="20"/>
          <w:szCs w:val="20"/>
        </w:rPr>
      </w:pPr>
      <w:proofErr w:type="spellStart"/>
      <w:proofErr w:type="gramStart"/>
      <w:r w:rsidRPr="009D59B1">
        <w:rPr>
          <w:sz w:val="20"/>
          <w:szCs w:val="20"/>
        </w:rPr>
        <w:t>Schatschneider</w:t>
      </w:r>
      <w:proofErr w:type="spellEnd"/>
      <w:r w:rsidRPr="009D59B1">
        <w:rPr>
          <w:sz w:val="20"/>
          <w:szCs w:val="20"/>
        </w:rPr>
        <w:t xml:space="preserve">, C., Fletcher, J. M., Francis, D. J., Carlson, C. D., &amp; </w:t>
      </w:r>
      <w:proofErr w:type="spellStart"/>
      <w:r w:rsidRPr="009D59B1">
        <w:rPr>
          <w:sz w:val="20"/>
          <w:szCs w:val="20"/>
        </w:rPr>
        <w:t>Foorman</w:t>
      </w:r>
      <w:proofErr w:type="spellEnd"/>
      <w:r w:rsidRPr="009D59B1">
        <w:rPr>
          <w:sz w:val="20"/>
          <w:szCs w:val="20"/>
        </w:rPr>
        <w:t>, B. R. (2004).</w:t>
      </w:r>
      <w:proofErr w:type="gramEnd"/>
      <w:r w:rsidRPr="009D59B1">
        <w:rPr>
          <w:sz w:val="20"/>
          <w:szCs w:val="20"/>
        </w:rPr>
        <w:t xml:space="preserve"> Kindergarten prediction of reading skills: A longitudinal comparative analysis. </w:t>
      </w:r>
      <w:r w:rsidRPr="009D59B1">
        <w:rPr>
          <w:i/>
          <w:sz w:val="20"/>
          <w:szCs w:val="20"/>
        </w:rPr>
        <w:t>Journal of Educational Psychology, 96</w:t>
      </w:r>
      <w:r w:rsidRPr="009D59B1">
        <w:rPr>
          <w:sz w:val="20"/>
          <w:szCs w:val="20"/>
        </w:rPr>
        <w:t>(2), 265-282.</w:t>
      </w:r>
    </w:p>
    <w:p w:rsidR="00FC3FB6" w:rsidRPr="009D59B1" w:rsidRDefault="00FC3FB6" w:rsidP="008014A0">
      <w:pPr>
        <w:jc w:val="both"/>
        <w:rPr>
          <w:sz w:val="20"/>
          <w:szCs w:val="20"/>
        </w:rPr>
      </w:pPr>
      <w:proofErr w:type="gramStart"/>
      <w:r w:rsidRPr="009D59B1">
        <w:rPr>
          <w:sz w:val="20"/>
          <w:szCs w:val="20"/>
        </w:rPr>
        <w:t>Smith, L. B., &amp; Samuelson, L. K. (2003).</w:t>
      </w:r>
      <w:proofErr w:type="gramEnd"/>
      <w:r w:rsidRPr="009D59B1">
        <w:rPr>
          <w:sz w:val="20"/>
          <w:szCs w:val="20"/>
        </w:rPr>
        <w:t xml:space="preserve"> Different is good: Connectionism and dynamic systems theory are complementary </w:t>
      </w:r>
      <w:proofErr w:type="spellStart"/>
      <w:r w:rsidRPr="009D59B1">
        <w:rPr>
          <w:sz w:val="20"/>
          <w:szCs w:val="20"/>
        </w:rPr>
        <w:t>emergentist</w:t>
      </w:r>
      <w:proofErr w:type="spellEnd"/>
      <w:r w:rsidRPr="009D59B1">
        <w:rPr>
          <w:sz w:val="20"/>
          <w:szCs w:val="20"/>
        </w:rPr>
        <w:t xml:space="preserve"> approaches to development. . </w:t>
      </w:r>
      <w:r w:rsidRPr="009D59B1">
        <w:rPr>
          <w:i/>
          <w:iCs/>
          <w:sz w:val="20"/>
          <w:szCs w:val="20"/>
        </w:rPr>
        <w:t>Developmental Science, 6</w:t>
      </w:r>
      <w:r w:rsidRPr="009D59B1">
        <w:rPr>
          <w:sz w:val="20"/>
          <w:szCs w:val="20"/>
        </w:rPr>
        <w:t xml:space="preserve">(4), 434-439. </w:t>
      </w:r>
    </w:p>
    <w:p w:rsidR="00FC3FB6" w:rsidRPr="009D59B1" w:rsidRDefault="00FC3FB6" w:rsidP="008014A0">
      <w:pPr>
        <w:jc w:val="both"/>
        <w:rPr>
          <w:sz w:val="20"/>
          <w:szCs w:val="20"/>
        </w:rPr>
      </w:pPr>
      <w:r w:rsidRPr="009D59B1">
        <w:rPr>
          <w:sz w:val="20"/>
          <w:szCs w:val="20"/>
        </w:rPr>
        <w:t>Snow, C. (2002). Reading For Understanding: Toward an R&amp;D Program in Reading Comprehension: RAND Corporation.</w:t>
      </w:r>
    </w:p>
    <w:p w:rsidR="00FC3FB6" w:rsidRPr="009D59B1" w:rsidRDefault="00FC3FB6" w:rsidP="008014A0">
      <w:pPr>
        <w:jc w:val="both"/>
        <w:rPr>
          <w:i/>
          <w:sz w:val="20"/>
          <w:szCs w:val="20"/>
        </w:rPr>
      </w:pPr>
      <w:proofErr w:type="spellStart"/>
      <w:r w:rsidRPr="009D59B1">
        <w:rPr>
          <w:sz w:val="20"/>
          <w:szCs w:val="20"/>
        </w:rPr>
        <w:t>Solari</w:t>
      </w:r>
      <w:proofErr w:type="spellEnd"/>
      <w:r w:rsidRPr="009D59B1">
        <w:rPr>
          <w:sz w:val="20"/>
          <w:szCs w:val="20"/>
        </w:rPr>
        <w:t xml:space="preserve">, </w:t>
      </w:r>
      <w:proofErr w:type="spellStart"/>
      <w:r w:rsidRPr="009D59B1">
        <w:rPr>
          <w:sz w:val="20"/>
          <w:szCs w:val="20"/>
        </w:rPr>
        <w:t>E.J.</w:t>
      </w:r>
      <w:proofErr w:type="spellEnd"/>
      <w:r w:rsidRPr="009D59B1">
        <w:rPr>
          <w:sz w:val="20"/>
          <w:szCs w:val="20"/>
        </w:rPr>
        <w:t xml:space="preserve">, &amp; Gerber M.M. (2008) Early Comprehension Instruction for Spanish-speaking English Language Learners: Teaching text level reading skills while maintaining effects on word level skills. </w:t>
      </w:r>
      <w:proofErr w:type="gramStart"/>
      <w:r w:rsidRPr="009D59B1">
        <w:rPr>
          <w:i/>
          <w:sz w:val="20"/>
          <w:szCs w:val="20"/>
        </w:rPr>
        <w:t>Learning Disabilities Research and Practice, 23, 4.</w:t>
      </w:r>
      <w:proofErr w:type="gramEnd"/>
    </w:p>
    <w:p w:rsidR="00FC3FB6" w:rsidRPr="009D59B1" w:rsidRDefault="00FC3FB6" w:rsidP="008014A0">
      <w:pPr>
        <w:jc w:val="both"/>
        <w:rPr>
          <w:sz w:val="20"/>
          <w:szCs w:val="20"/>
        </w:rPr>
      </w:pPr>
      <w:proofErr w:type="spellStart"/>
      <w:r w:rsidRPr="009D59B1">
        <w:rPr>
          <w:sz w:val="20"/>
          <w:szCs w:val="20"/>
        </w:rPr>
        <w:t>Stanovich</w:t>
      </w:r>
      <w:proofErr w:type="spellEnd"/>
      <w:r w:rsidRPr="009D59B1">
        <w:rPr>
          <w:sz w:val="20"/>
          <w:szCs w:val="20"/>
        </w:rPr>
        <w:t xml:space="preserve">, K. E. (1986). Matthew effects in reading: Some consequences for the individual differences in the acquisition of literacy. </w:t>
      </w:r>
      <w:proofErr w:type="gramStart"/>
      <w:r w:rsidRPr="009D59B1">
        <w:rPr>
          <w:i/>
          <w:iCs/>
          <w:sz w:val="20"/>
          <w:szCs w:val="20"/>
        </w:rPr>
        <w:t>Reading Research Quarterly, 21</w:t>
      </w:r>
      <w:r w:rsidRPr="009D59B1">
        <w:rPr>
          <w:sz w:val="20"/>
          <w:szCs w:val="20"/>
        </w:rPr>
        <w:t>, 360-407.</w:t>
      </w:r>
      <w:proofErr w:type="gramEnd"/>
      <w:r w:rsidRPr="009D59B1">
        <w:rPr>
          <w:sz w:val="20"/>
          <w:szCs w:val="20"/>
        </w:rPr>
        <w:t xml:space="preserve"> </w:t>
      </w:r>
    </w:p>
    <w:p w:rsidR="00FC3FB6" w:rsidRPr="009D59B1" w:rsidRDefault="00FC3FB6" w:rsidP="008014A0">
      <w:pPr>
        <w:jc w:val="both"/>
        <w:rPr>
          <w:sz w:val="20"/>
          <w:szCs w:val="20"/>
        </w:rPr>
      </w:pPr>
      <w:proofErr w:type="gramStart"/>
      <w:r w:rsidRPr="009D59B1">
        <w:rPr>
          <w:sz w:val="20"/>
          <w:szCs w:val="20"/>
        </w:rPr>
        <w:t xml:space="preserve">Swanson, H. L., &amp; </w:t>
      </w:r>
      <w:proofErr w:type="spellStart"/>
      <w:r w:rsidRPr="009D59B1">
        <w:rPr>
          <w:sz w:val="20"/>
          <w:szCs w:val="20"/>
        </w:rPr>
        <w:t>Hoskyn</w:t>
      </w:r>
      <w:proofErr w:type="spellEnd"/>
      <w:r w:rsidRPr="009D59B1">
        <w:rPr>
          <w:sz w:val="20"/>
          <w:szCs w:val="20"/>
        </w:rPr>
        <w:t>, M. (1998).</w:t>
      </w:r>
      <w:proofErr w:type="gramEnd"/>
      <w:r w:rsidRPr="009D59B1">
        <w:rPr>
          <w:sz w:val="20"/>
          <w:szCs w:val="20"/>
        </w:rPr>
        <w:t xml:space="preserve"> Experimental intervention research on students with learning disabilities: A meta-analysis of treatment outcomes. </w:t>
      </w:r>
      <w:r w:rsidRPr="009D59B1">
        <w:rPr>
          <w:i/>
          <w:sz w:val="20"/>
          <w:szCs w:val="20"/>
        </w:rPr>
        <w:t>Review of Educational Research, 68</w:t>
      </w:r>
      <w:r w:rsidRPr="009D59B1">
        <w:rPr>
          <w:sz w:val="20"/>
          <w:szCs w:val="20"/>
        </w:rPr>
        <w:t>(3), 277-321.</w:t>
      </w:r>
    </w:p>
    <w:p w:rsidR="00FC3FB6" w:rsidRPr="009D59B1" w:rsidRDefault="00FC3FB6" w:rsidP="008014A0">
      <w:pPr>
        <w:jc w:val="both"/>
        <w:rPr>
          <w:sz w:val="20"/>
          <w:szCs w:val="20"/>
        </w:rPr>
      </w:pPr>
      <w:proofErr w:type="spellStart"/>
      <w:proofErr w:type="gramStart"/>
      <w:r w:rsidRPr="009D59B1">
        <w:rPr>
          <w:sz w:val="20"/>
          <w:szCs w:val="20"/>
        </w:rPr>
        <w:t>Vanderwood</w:t>
      </w:r>
      <w:proofErr w:type="spellEnd"/>
      <w:r w:rsidRPr="009D59B1">
        <w:rPr>
          <w:sz w:val="20"/>
          <w:szCs w:val="20"/>
        </w:rPr>
        <w:t xml:space="preserve">, M. L., </w:t>
      </w:r>
      <w:proofErr w:type="spellStart"/>
      <w:r w:rsidRPr="009D59B1">
        <w:rPr>
          <w:sz w:val="20"/>
          <w:szCs w:val="20"/>
        </w:rPr>
        <w:t>Linklater</w:t>
      </w:r>
      <w:proofErr w:type="spellEnd"/>
      <w:r w:rsidRPr="009D59B1">
        <w:rPr>
          <w:sz w:val="20"/>
          <w:szCs w:val="20"/>
        </w:rPr>
        <w:t>, D., &amp; Healy, K. (2008).</w:t>
      </w:r>
      <w:proofErr w:type="gramEnd"/>
      <w:r w:rsidRPr="009D59B1">
        <w:rPr>
          <w:sz w:val="20"/>
          <w:szCs w:val="20"/>
        </w:rPr>
        <w:t xml:space="preserve"> </w:t>
      </w:r>
      <w:proofErr w:type="gramStart"/>
      <w:r w:rsidRPr="009D59B1">
        <w:rPr>
          <w:sz w:val="20"/>
          <w:szCs w:val="20"/>
        </w:rPr>
        <w:t>Predictive accuracy of Nonsense Word Fluency for English Language Learners.</w:t>
      </w:r>
      <w:proofErr w:type="gramEnd"/>
      <w:r w:rsidRPr="009D59B1">
        <w:rPr>
          <w:sz w:val="20"/>
          <w:szCs w:val="20"/>
        </w:rPr>
        <w:t xml:space="preserve"> </w:t>
      </w:r>
      <w:r w:rsidRPr="009D59B1">
        <w:rPr>
          <w:i/>
          <w:sz w:val="20"/>
          <w:szCs w:val="20"/>
        </w:rPr>
        <w:t>School Psychology Review, 37</w:t>
      </w:r>
      <w:r w:rsidRPr="009D59B1">
        <w:rPr>
          <w:sz w:val="20"/>
          <w:szCs w:val="20"/>
        </w:rPr>
        <w:t>(1), 5-17.</w:t>
      </w:r>
    </w:p>
    <w:p w:rsidR="00FC3FB6" w:rsidRPr="009D59B1" w:rsidRDefault="00FC3FB6" w:rsidP="008014A0">
      <w:pPr>
        <w:jc w:val="both"/>
        <w:rPr>
          <w:sz w:val="20"/>
          <w:szCs w:val="20"/>
        </w:rPr>
      </w:pPr>
      <w:proofErr w:type="gramStart"/>
      <w:r w:rsidRPr="009D59B1">
        <w:rPr>
          <w:sz w:val="20"/>
          <w:szCs w:val="20"/>
        </w:rPr>
        <w:t xml:space="preserve">Vaughn, S., </w:t>
      </w:r>
      <w:proofErr w:type="spellStart"/>
      <w:r w:rsidRPr="009D59B1">
        <w:rPr>
          <w:sz w:val="20"/>
          <w:szCs w:val="20"/>
        </w:rPr>
        <w:t>Linan</w:t>
      </w:r>
      <w:proofErr w:type="spellEnd"/>
      <w:r w:rsidRPr="009D59B1">
        <w:rPr>
          <w:sz w:val="20"/>
          <w:szCs w:val="20"/>
        </w:rPr>
        <w:t xml:space="preserve">-Thompson, S., </w:t>
      </w:r>
      <w:proofErr w:type="spellStart"/>
      <w:r w:rsidRPr="009D59B1">
        <w:rPr>
          <w:sz w:val="20"/>
          <w:szCs w:val="20"/>
        </w:rPr>
        <w:t>Mathes</w:t>
      </w:r>
      <w:proofErr w:type="spellEnd"/>
      <w:r w:rsidRPr="009D59B1">
        <w:rPr>
          <w:sz w:val="20"/>
          <w:szCs w:val="20"/>
        </w:rPr>
        <w:t xml:space="preserve">, P. G., </w:t>
      </w:r>
      <w:proofErr w:type="spellStart"/>
      <w:r w:rsidRPr="009D59B1">
        <w:rPr>
          <w:sz w:val="20"/>
          <w:szCs w:val="20"/>
        </w:rPr>
        <w:t>Cirino</w:t>
      </w:r>
      <w:proofErr w:type="spellEnd"/>
      <w:r w:rsidRPr="009D59B1">
        <w:rPr>
          <w:sz w:val="20"/>
          <w:szCs w:val="20"/>
        </w:rPr>
        <w:t>, P. T., Carlson, C. D., Pollard-</w:t>
      </w:r>
      <w:proofErr w:type="spellStart"/>
      <w:r w:rsidRPr="009D59B1">
        <w:rPr>
          <w:sz w:val="20"/>
          <w:szCs w:val="20"/>
        </w:rPr>
        <w:t>Durodola</w:t>
      </w:r>
      <w:proofErr w:type="spellEnd"/>
      <w:r w:rsidRPr="009D59B1">
        <w:rPr>
          <w:sz w:val="20"/>
          <w:szCs w:val="20"/>
        </w:rPr>
        <w:t>, S. D., et al. (2006).</w:t>
      </w:r>
      <w:proofErr w:type="gramEnd"/>
      <w:r w:rsidRPr="009D59B1">
        <w:rPr>
          <w:sz w:val="20"/>
          <w:szCs w:val="20"/>
        </w:rPr>
        <w:t xml:space="preserve"> </w:t>
      </w:r>
      <w:proofErr w:type="gramStart"/>
      <w:r w:rsidRPr="009D59B1">
        <w:rPr>
          <w:sz w:val="20"/>
          <w:szCs w:val="20"/>
        </w:rPr>
        <w:t>Effectiveness of Spanish intervention for first-grade English language learners at risk for reading difficulties.</w:t>
      </w:r>
      <w:proofErr w:type="gramEnd"/>
      <w:r w:rsidRPr="009D59B1">
        <w:rPr>
          <w:sz w:val="20"/>
          <w:szCs w:val="20"/>
        </w:rPr>
        <w:t xml:space="preserve"> </w:t>
      </w:r>
      <w:r w:rsidRPr="009D59B1">
        <w:rPr>
          <w:i/>
          <w:sz w:val="20"/>
          <w:szCs w:val="20"/>
        </w:rPr>
        <w:t>Journal of Learning Disabilities, 39</w:t>
      </w:r>
      <w:r w:rsidRPr="009D59B1">
        <w:rPr>
          <w:sz w:val="20"/>
          <w:szCs w:val="20"/>
        </w:rPr>
        <w:t>(1), 56-73.</w:t>
      </w:r>
    </w:p>
    <w:p w:rsidR="00FC3FB6" w:rsidRPr="009D59B1" w:rsidRDefault="00FC3FB6" w:rsidP="008014A0">
      <w:pPr>
        <w:jc w:val="both"/>
        <w:rPr>
          <w:sz w:val="20"/>
          <w:szCs w:val="20"/>
        </w:rPr>
      </w:pPr>
      <w:proofErr w:type="spellStart"/>
      <w:r w:rsidRPr="009D59B1">
        <w:rPr>
          <w:sz w:val="20"/>
          <w:szCs w:val="20"/>
        </w:rPr>
        <w:t>Verhoeven</w:t>
      </w:r>
      <w:proofErr w:type="spellEnd"/>
      <w:r w:rsidRPr="009D59B1">
        <w:rPr>
          <w:sz w:val="20"/>
          <w:szCs w:val="20"/>
        </w:rPr>
        <w:t xml:space="preserve">, L. (2000). </w:t>
      </w:r>
      <w:proofErr w:type="gramStart"/>
      <w:r w:rsidRPr="009D59B1">
        <w:rPr>
          <w:sz w:val="20"/>
          <w:szCs w:val="20"/>
        </w:rPr>
        <w:t>Components in early second language reading and spelling.</w:t>
      </w:r>
      <w:proofErr w:type="gramEnd"/>
      <w:r w:rsidRPr="009D59B1">
        <w:rPr>
          <w:sz w:val="20"/>
          <w:szCs w:val="20"/>
        </w:rPr>
        <w:t xml:space="preserve"> </w:t>
      </w:r>
      <w:r w:rsidRPr="009D59B1">
        <w:rPr>
          <w:i/>
          <w:sz w:val="20"/>
          <w:szCs w:val="20"/>
        </w:rPr>
        <w:t>Scientific Studies of Reading, 4</w:t>
      </w:r>
      <w:r w:rsidRPr="009D59B1">
        <w:rPr>
          <w:sz w:val="20"/>
          <w:szCs w:val="20"/>
        </w:rPr>
        <w:t>, 313-330.</w:t>
      </w:r>
    </w:p>
    <w:p w:rsidR="00FC3FB6" w:rsidRPr="009D59B1" w:rsidRDefault="00FC3FB6" w:rsidP="008014A0">
      <w:pPr>
        <w:jc w:val="both"/>
        <w:rPr>
          <w:sz w:val="20"/>
          <w:szCs w:val="20"/>
        </w:rPr>
      </w:pPr>
    </w:p>
    <w:p w:rsidR="006C2ACF" w:rsidRPr="009D59B1" w:rsidRDefault="006C2ACF" w:rsidP="008014A0">
      <w:pPr>
        <w:jc w:val="both"/>
        <w:rPr>
          <w:sz w:val="20"/>
          <w:szCs w:val="20"/>
        </w:rPr>
      </w:pPr>
    </w:p>
    <w:sectPr w:rsidR="006C2ACF" w:rsidRPr="009D59B1" w:rsidSect="00D6658F">
      <w:type w:val="continuous"/>
      <w:pgSz w:w="11907" w:h="16839" w:code="9"/>
      <w:pgMar w:top="1440" w:right="1728" w:bottom="1440" w:left="1728" w:header="720" w:footer="435"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066F" w:rsidRDefault="007D066F">
      <w:r>
        <w:separator/>
      </w:r>
    </w:p>
  </w:endnote>
  <w:endnote w:type="continuationSeparator" w:id="0">
    <w:p w:rsidR="007D066F" w:rsidRDefault="007D066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00000003" w:usb1="00000000" w:usb2="00000000" w:usb3="00000000" w:csb0="00000001" w:csb1="00000000"/>
  </w:font>
  <w:font w:name="Times">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04B" w:rsidRDefault="003940FB" w:rsidP="00FC3FB6">
    <w:pPr>
      <w:pStyle w:val="Footer"/>
      <w:framePr w:wrap="around" w:vAnchor="text" w:hAnchor="margin" w:xAlign="right" w:y="1"/>
      <w:rPr>
        <w:rStyle w:val="PageNumber"/>
      </w:rPr>
    </w:pPr>
    <w:r>
      <w:rPr>
        <w:rStyle w:val="PageNumber"/>
      </w:rPr>
      <w:fldChar w:fldCharType="begin"/>
    </w:r>
    <w:r w:rsidR="0010004B">
      <w:rPr>
        <w:rStyle w:val="PageNumber"/>
      </w:rPr>
      <w:instrText xml:space="preserve">PAGE  </w:instrText>
    </w:r>
    <w:r>
      <w:rPr>
        <w:rStyle w:val="PageNumber"/>
      </w:rPr>
      <w:fldChar w:fldCharType="end"/>
    </w:r>
  </w:p>
  <w:p w:rsidR="0010004B" w:rsidRDefault="0010004B" w:rsidP="00FC3FB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9B1" w:rsidRPr="009D59B1" w:rsidRDefault="003940FB">
    <w:pPr>
      <w:pStyle w:val="Footer"/>
      <w:jc w:val="right"/>
      <w:rPr>
        <w:sz w:val="20"/>
      </w:rPr>
    </w:pPr>
    <w:r w:rsidRPr="009D59B1">
      <w:rPr>
        <w:sz w:val="20"/>
      </w:rPr>
      <w:fldChar w:fldCharType="begin"/>
    </w:r>
    <w:r w:rsidR="009D59B1" w:rsidRPr="009D59B1">
      <w:rPr>
        <w:sz w:val="20"/>
      </w:rPr>
      <w:instrText xml:space="preserve"> PAGE   \* MERGEFORMAT </w:instrText>
    </w:r>
    <w:r w:rsidRPr="009D59B1">
      <w:rPr>
        <w:sz w:val="20"/>
      </w:rPr>
      <w:fldChar w:fldCharType="separate"/>
    </w:r>
    <w:r w:rsidR="007D08FB">
      <w:rPr>
        <w:noProof/>
        <w:sz w:val="20"/>
      </w:rPr>
      <w:t>1</w:t>
    </w:r>
    <w:r w:rsidRPr="009D59B1">
      <w:rPr>
        <w:sz w:val="20"/>
      </w:rPr>
      <w:fldChar w:fldCharType="end"/>
    </w:r>
  </w:p>
  <w:p w:rsidR="0010004B" w:rsidRDefault="0010004B" w:rsidP="009D59B1">
    <w:pPr>
      <w:pStyle w:val="Footer"/>
      <w:ind w:right="-9" w:firstLine="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066F" w:rsidRDefault="007D066F">
      <w:r>
        <w:separator/>
      </w:r>
    </w:p>
  </w:footnote>
  <w:footnote w:type="continuationSeparator" w:id="0">
    <w:p w:rsidR="007D066F" w:rsidRDefault="007D06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04B" w:rsidRPr="009D59B1" w:rsidRDefault="009D59B1" w:rsidP="009D59B1">
    <w:pPr>
      <w:pStyle w:val="Header"/>
      <w:ind w:firstLine="0"/>
      <w:rPr>
        <w:sz w:val="20"/>
      </w:rPr>
    </w:pPr>
    <w:r w:rsidRPr="009D59B1">
      <w:rPr>
        <w:sz w:val="20"/>
      </w:rPr>
      <w:t xml:space="preserve">INTERNATIONAL JOURNAL OF SPECIAL EDUCATION </w:t>
    </w:r>
    <w:r>
      <w:rPr>
        <w:sz w:val="20"/>
      </w:rPr>
      <w:t xml:space="preserve">                                    </w:t>
    </w:r>
    <w:proofErr w:type="spellStart"/>
    <w:r w:rsidRPr="009D59B1">
      <w:rPr>
        <w:sz w:val="20"/>
      </w:rPr>
      <w:t>Vol</w:t>
    </w:r>
    <w:proofErr w:type="spellEnd"/>
    <w:r w:rsidRPr="009D59B1">
      <w:rPr>
        <w:sz w:val="20"/>
      </w:rPr>
      <w:t xml:space="preserve"> 27, No: 3, 2012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86AC14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65B2D198"/>
    <w:lvl w:ilvl="0">
      <w:start w:val="1"/>
      <w:numFmt w:val="decimal"/>
      <w:pStyle w:val="ListNumber5"/>
      <w:lvlText w:val="%1."/>
      <w:lvlJc w:val="left"/>
      <w:pPr>
        <w:tabs>
          <w:tab w:val="num" w:pos="1800"/>
        </w:tabs>
        <w:ind w:left="1800" w:hanging="360"/>
      </w:pPr>
    </w:lvl>
  </w:abstractNum>
  <w:abstractNum w:abstractNumId="2">
    <w:nsid w:val="FFFFFF7D"/>
    <w:multiLevelType w:val="singleLevel"/>
    <w:tmpl w:val="67604950"/>
    <w:lvl w:ilvl="0">
      <w:start w:val="1"/>
      <w:numFmt w:val="decimal"/>
      <w:pStyle w:val="ListNumber4"/>
      <w:lvlText w:val="%1."/>
      <w:lvlJc w:val="left"/>
      <w:pPr>
        <w:tabs>
          <w:tab w:val="num" w:pos="1440"/>
        </w:tabs>
        <w:ind w:left="1440" w:hanging="360"/>
      </w:pPr>
    </w:lvl>
  </w:abstractNum>
  <w:abstractNum w:abstractNumId="3">
    <w:nsid w:val="FFFFFF7E"/>
    <w:multiLevelType w:val="singleLevel"/>
    <w:tmpl w:val="BA5CF06A"/>
    <w:lvl w:ilvl="0">
      <w:start w:val="1"/>
      <w:numFmt w:val="decimal"/>
      <w:pStyle w:val="ListNumber3"/>
      <w:lvlText w:val="%1."/>
      <w:lvlJc w:val="left"/>
      <w:pPr>
        <w:tabs>
          <w:tab w:val="num" w:pos="1080"/>
        </w:tabs>
        <w:ind w:left="1080" w:hanging="360"/>
      </w:pPr>
    </w:lvl>
  </w:abstractNum>
  <w:abstractNum w:abstractNumId="4">
    <w:nsid w:val="FFFFFF7F"/>
    <w:multiLevelType w:val="singleLevel"/>
    <w:tmpl w:val="94285162"/>
    <w:lvl w:ilvl="0">
      <w:start w:val="1"/>
      <w:numFmt w:val="decimal"/>
      <w:pStyle w:val="ListNumber2"/>
      <w:lvlText w:val="%1."/>
      <w:lvlJc w:val="left"/>
      <w:pPr>
        <w:tabs>
          <w:tab w:val="num" w:pos="720"/>
        </w:tabs>
        <w:ind w:left="720" w:hanging="360"/>
      </w:pPr>
    </w:lvl>
  </w:abstractNum>
  <w:abstractNum w:abstractNumId="5">
    <w:nsid w:val="FFFFFF80"/>
    <w:multiLevelType w:val="singleLevel"/>
    <w:tmpl w:val="0C1A9204"/>
    <w:lvl w:ilvl="0">
      <w:start w:val="1"/>
      <w:numFmt w:val="bullet"/>
      <w:pStyle w:val="ListBullet5"/>
      <w:lvlText w:val=""/>
      <w:lvlJc w:val="left"/>
      <w:pPr>
        <w:tabs>
          <w:tab w:val="num" w:pos="1800"/>
        </w:tabs>
        <w:ind w:left="1800" w:hanging="360"/>
      </w:pPr>
      <w:rPr>
        <w:rFonts w:ascii="Symbol" w:hAnsi="Symbol" w:hint="default"/>
      </w:rPr>
    </w:lvl>
  </w:abstractNum>
  <w:abstractNum w:abstractNumId="6">
    <w:nsid w:val="FFFFFF81"/>
    <w:multiLevelType w:val="singleLevel"/>
    <w:tmpl w:val="9580FE6C"/>
    <w:lvl w:ilvl="0">
      <w:start w:val="1"/>
      <w:numFmt w:val="bullet"/>
      <w:pStyle w:val="ListBullet4"/>
      <w:lvlText w:val=""/>
      <w:lvlJc w:val="left"/>
      <w:pPr>
        <w:tabs>
          <w:tab w:val="num" w:pos="1440"/>
        </w:tabs>
        <w:ind w:left="1440" w:hanging="360"/>
      </w:pPr>
      <w:rPr>
        <w:rFonts w:ascii="Symbol" w:hAnsi="Symbol" w:hint="default"/>
      </w:rPr>
    </w:lvl>
  </w:abstractNum>
  <w:abstractNum w:abstractNumId="7">
    <w:nsid w:val="FFFFFF82"/>
    <w:multiLevelType w:val="singleLevel"/>
    <w:tmpl w:val="EFF63130"/>
    <w:lvl w:ilvl="0">
      <w:start w:val="1"/>
      <w:numFmt w:val="bullet"/>
      <w:pStyle w:val="ListBullet3"/>
      <w:lvlText w:val=""/>
      <w:lvlJc w:val="left"/>
      <w:pPr>
        <w:tabs>
          <w:tab w:val="num" w:pos="1080"/>
        </w:tabs>
        <w:ind w:left="1080" w:hanging="360"/>
      </w:pPr>
      <w:rPr>
        <w:rFonts w:ascii="Symbol" w:hAnsi="Symbol" w:hint="default"/>
      </w:rPr>
    </w:lvl>
  </w:abstractNum>
  <w:abstractNum w:abstractNumId="8">
    <w:nsid w:val="FFFFFF83"/>
    <w:multiLevelType w:val="singleLevel"/>
    <w:tmpl w:val="F8DCB5A0"/>
    <w:lvl w:ilvl="0">
      <w:start w:val="1"/>
      <w:numFmt w:val="bullet"/>
      <w:pStyle w:val="ListBullet2"/>
      <w:lvlText w:val=""/>
      <w:lvlJc w:val="left"/>
      <w:pPr>
        <w:tabs>
          <w:tab w:val="num" w:pos="720"/>
        </w:tabs>
        <w:ind w:left="720" w:hanging="360"/>
      </w:pPr>
      <w:rPr>
        <w:rFonts w:ascii="Symbol" w:hAnsi="Symbol" w:hint="default"/>
      </w:rPr>
    </w:lvl>
  </w:abstractNum>
  <w:abstractNum w:abstractNumId="9">
    <w:nsid w:val="FFFFFF88"/>
    <w:multiLevelType w:val="singleLevel"/>
    <w:tmpl w:val="2A4C1532"/>
    <w:lvl w:ilvl="0">
      <w:start w:val="1"/>
      <w:numFmt w:val="decimal"/>
      <w:pStyle w:val="ListNumber"/>
      <w:lvlText w:val="%1."/>
      <w:lvlJc w:val="left"/>
      <w:pPr>
        <w:tabs>
          <w:tab w:val="num" w:pos="360"/>
        </w:tabs>
        <w:ind w:left="360" w:hanging="360"/>
      </w:pPr>
    </w:lvl>
  </w:abstractNum>
  <w:abstractNum w:abstractNumId="10">
    <w:nsid w:val="FFFFFF89"/>
    <w:multiLevelType w:val="singleLevel"/>
    <w:tmpl w:val="0000581E"/>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07795B10"/>
    <w:multiLevelType w:val="multilevel"/>
    <w:tmpl w:val="2D1872BA"/>
    <w:numStyleLink w:val="CurrentList1"/>
  </w:abstractNum>
  <w:abstractNum w:abstractNumId="12">
    <w:nsid w:val="161F5485"/>
    <w:multiLevelType w:val="hybridMultilevel"/>
    <w:tmpl w:val="0B2035C2"/>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3">
    <w:nsid w:val="237877B7"/>
    <w:multiLevelType w:val="hybridMultilevel"/>
    <w:tmpl w:val="2F8A1068"/>
    <w:lvl w:ilvl="0" w:tplc="2DD68950">
      <w:start w:val="1"/>
      <w:numFmt w:val="bullet"/>
      <w:lvlText w:val=""/>
      <w:lvlJc w:val="left"/>
      <w:pPr>
        <w:tabs>
          <w:tab w:val="num" w:pos="1440"/>
        </w:tabs>
        <w:ind w:left="1440" w:hanging="360"/>
      </w:pPr>
      <w:rPr>
        <w:rFonts w:ascii="Webdings" w:hAnsi="Webdings" w:hint="default"/>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14">
    <w:nsid w:val="31873445"/>
    <w:multiLevelType w:val="multilevel"/>
    <w:tmpl w:val="7D187B60"/>
    <w:lvl w:ilvl="0">
      <w:start w:val="1"/>
      <w:numFmt w:val="bullet"/>
      <w:lvlText w:val=""/>
      <w:lvlJc w:val="left"/>
      <w:pPr>
        <w:tabs>
          <w:tab w:val="num" w:pos="1440"/>
        </w:tabs>
        <w:ind w:left="1440" w:hanging="360"/>
      </w:pPr>
      <w:rPr>
        <w:rFonts w:ascii="Webdings" w:hAnsi="Webdings"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5">
    <w:nsid w:val="3A632D36"/>
    <w:multiLevelType w:val="singleLevel"/>
    <w:tmpl w:val="7986A5A0"/>
    <w:lvl w:ilvl="0">
      <w:start w:val="8"/>
      <w:numFmt w:val="decimal"/>
      <w:lvlText w:val="%1."/>
      <w:lvlJc w:val="left"/>
      <w:pPr>
        <w:tabs>
          <w:tab w:val="num" w:pos="720"/>
        </w:tabs>
        <w:ind w:left="720" w:hanging="360"/>
      </w:pPr>
      <w:rPr>
        <w:rFonts w:hint="default"/>
      </w:rPr>
    </w:lvl>
  </w:abstractNum>
  <w:abstractNum w:abstractNumId="16">
    <w:nsid w:val="43C21D7E"/>
    <w:multiLevelType w:val="hybridMultilevel"/>
    <w:tmpl w:val="7D187B60"/>
    <w:lvl w:ilvl="0" w:tplc="2DD68950">
      <w:start w:val="1"/>
      <w:numFmt w:val="bullet"/>
      <w:lvlText w:val=""/>
      <w:lvlJc w:val="left"/>
      <w:pPr>
        <w:tabs>
          <w:tab w:val="num" w:pos="1440"/>
        </w:tabs>
        <w:ind w:left="1440" w:hanging="360"/>
      </w:pPr>
      <w:rPr>
        <w:rFonts w:ascii="Webdings" w:hAnsi="Webdings" w:hint="default"/>
      </w:rPr>
    </w:lvl>
    <w:lvl w:ilvl="1" w:tplc="00030409">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17">
    <w:nsid w:val="44995C01"/>
    <w:multiLevelType w:val="hybridMultilevel"/>
    <w:tmpl w:val="C5969758"/>
    <w:lvl w:ilvl="0" w:tplc="00010409">
      <w:start w:val="1"/>
      <w:numFmt w:val="bullet"/>
      <w:lvlText w:val=""/>
      <w:lvlJc w:val="left"/>
      <w:pPr>
        <w:tabs>
          <w:tab w:val="num" w:pos="1440"/>
        </w:tabs>
        <w:ind w:left="1440" w:hanging="360"/>
      </w:pPr>
      <w:rPr>
        <w:rFonts w:ascii="Symbol" w:hAnsi="Symbol" w:hint="default"/>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18">
    <w:nsid w:val="541A323A"/>
    <w:multiLevelType w:val="hybridMultilevel"/>
    <w:tmpl w:val="D408D09E"/>
    <w:lvl w:ilvl="0" w:tplc="714C2CE4">
      <w:start w:val="6"/>
      <w:numFmt w:val="bullet"/>
      <w:lvlText w:val="–"/>
      <w:lvlJc w:val="left"/>
      <w:pPr>
        <w:tabs>
          <w:tab w:val="num" w:pos="720"/>
        </w:tabs>
        <w:ind w:left="720" w:hanging="360"/>
      </w:pPr>
      <w:rPr>
        <w:rFonts w:ascii="Times New Roman" w:eastAsia="Times New Roman" w:hAnsi="Times New Roman"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
    <w:nsid w:val="58740FF1"/>
    <w:multiLevelType w:val="hybridMultilevel"/>
    <w:tmpl w:val="A6B4D09C"/>
    <w:lvl w:ilvl="0" w:tplc="00010409">
      <w:start w:val="1"/>
      <w:numFmt w:val="bullet"/>
      <w:lvlText w:val=""/>
      <w:lvlJc w:val="left"/>
      <w:pPr>
        <w:tabs>
          <w:tab w:val="num" w:pos="1440"/>
        </w:tabs>
        <w:ind w:left="1440" w:hanging="360"/>
      </w:pPr>
      <w:rPr>
        <w:rFonts w:ascii="Symbol" w:hAnsi="Symbol" w:hint="default"/>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20">
    <w:nsid w:val="6E6C693F"/>
    <w:multiLevelType w:val="hybridMultilevel"/>
    <w:tmpl w:val="AEBE5FA4"/>
    <w:lvl w:ilvl="0" w:tplc="00010409">
      <w:start w:val="1"/>
      <w:numFmt w:val="bullet"/>
      <w:lvlText w:val=""/>
      <w:lvlJc w:val="left"/>
      <w:pPr>
        <w:tabs>
          <w:tab w:val="num" w:pos="1440"/>
        </w:tabs>
        <w:ind w:left="1440" w:hanging="360"/>
      </w:pPr>
      <w:rPr>
        <w:rFonts w:ascii="Symbol" w:hAnsi="Symbol" w:hint="default"/>
      </w:rPr>
    </w:lvl>
    <w:lvl w:ilvl="1" w:tplc="00030409">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21">
    <w:nsid w:val="72B14CEB"/>
    <w:multiLevelType w:val="hybridMultilevel"/>
    <w:tmpl w:val="2D1872BA"/>
    <w:lvl w:ilvl="0" w:tplc="F5DA6BC6">
      <w:start w:val="1"/>
      <w:numFmt w:val="bullet"/>
      <w:lvlText w:val=""/>
      <w:lvlJc w:val="left"/>
      <w:pPr>
        <w:tabs>
          <w:tab w:val="num" w:pos="720"/>
        </w:tabs>
        <w:ind w:left="720" w:hanging="360"/>
      </w:pPr>
      <w:rPr>
        <w:rFonts w:ascii="Symbol" w:hAnsi="Symbol" w:hint="default"/>
        <w:color w:val="auto"/>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2">
    <w:nsid w:val="748A13B4"/>
    <w:multiLevelType w:val="multilevel"/>
    <w:tmpl w:val="2D1872BA"/>
    <w:styleLink w:val="CurrentList1"/>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768514F0"/>
    <w:multiLevelType w:val="hybridMultilevel"/>
    <w:tmpl w:val="A5785B74"/>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15"/>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13"/>
  </w:num>
  <w:num w:numId="13">
    <w:abstractNumId w:val="16"/>
  </w:num>
  <w:num w:numId="14">
    <w:abstractNumId w:val="14"/>
  </w:num>
  <w:num w:numId="15">
    <w:abstractNumId w:val="20"/>
  </w:num>
  <w:num w:numId="16">
    <w:abstractNumId w:val="17"/>
  </w:num>
  <w:num w:numId="17">
    <w:abstractNumId w:val="19"/>
  </w:num>
  <w:num w:numId="18">
    <w:abstractNumId w:val="23"/>
  </w:num>
  <w:num w:numId="19">
    <w:abstractNumId w:val="18"/>
  </w:num>
  <w:num w:numId="20">
    <w:abstractNumId w:val="21"/>
  </w:num>
  <w:num w:numId="21">
    <w:abstractNumId w:val="22"/>
  </w:num>
  <w:num w:numId="22">
    <w:abstractNumId w:val="11"/>
  </w:num>
  <w:num w:numId="23">
    <w:abstractNumId w:val="12"/>
  </w:num>
  <w:num w:numId="2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stylePaneFormatFilter w:val="3F01"/>
  <w:stylePaneSortMethod w:val="0000"/>
  <w:defaultTabStop w:val="720"/>
  <w:drawingGridHorizontalSpacing w:val="120"/>
  <w:displayHorizontalDrawingGridEvery w:val="0"/>
  <w:displayVerticalDrawingGridEvery w:val="0"/>
  <w:noPunctuationKerning/>
  <w:characterSpacingControl w:val="doNotCompress"/>
  <w:hdrShapeDefaults>
    <o:shapedefaults v:ext="edit" spidmax="14337"/>
  </w:hdrShapeDefaults>
  <w:footnotePr>
    <w:footnote w:id="-1"/>
    <w:footnote w:id="0"/>
  </w:footnotePr>
  <w:endnotePr>
    <w:endnote w:id="-1"/>
    <w:endnote w:id="0"/>
  </w:endnotePr>
  <w:compat/>
  <w:docVars>
    <w:docVar w:name="EN.InstantFormat" w:val="&lt;ENInstantFormat&gt;&lt;Enabled&gt;0&lt;/Enabled&gt;&lt;ScanUnformatted&gt;1&lt;/ScanUnformatted&gt;&lt;ScanChanges&gt;1&lt;/ScanChanges&gt;&lt;/ENInstantFormat&gt;"/>
  </w:docVars>
  <w:rsids>
    <w:rsidRoot w:val="00126838"/>
    <w:rsid w:val="00010089"/>
    <w:rsid w:val="00036321"/>
    <w:rsid w:val="00084CAC"/>
    <w:rsid w:val="00095FAD"/>
    <w:rsid w:val="000B4223"/>
    <w:rsid w:val="0010004B"/>
    <w:rsid w:val="0011454E"/>
    <w:rsid w:val="001210F2"/>
    <w:rsid w:val="00126838"/>
    <w:rsid w:val="00144260"/>
    <w:rsid w:val="0018604F"/>
    <w:rsid w:val="002021AE"/>
    <w:rsid w:val="002451E0"/>
    <w:rsid w:val="0026755A"/>
    <w:rsid w:val="002A7641"/>
    <w:rsid w:val="002D3435"/>
    <w:rsid w:val="002F425C"/>
    <w:rsid w:val="0030655E"/>
    <w:rsid w:val="003407B8"/>
    <w:rsid w:val="0034381F"/>
    <w:rsid w:val="00354E0A"/>
    <w:rsid w:val="00383AAF"/>
    <w:rsid w:val="003940FB"/>
    <w:rsid w:val="003974F4"/>
    <w:rsid w:val="003C3783"/>
    <w:rsid w:val="003C569B"/>
    <w:rsid w:val="003F318D"/>
    <w:rsid w:val="003F6881"/>
    <w:rsid w:val="004975D1"/>
    <w:rsid w:val="004E5093"/>
    <w:rsid w:val="005C6AA3"/>
    <w:rsid w:val="006256A5"/>
    <w:rsid w:val="006A09E0"/>
    <w:rsid w:val="006C2ACF"/>
    <w:rsid w:val="006C582C"/>
    <w:rsid w:val="006E1D11"/>
    <w:rsid w:val="006F084B"/>
    <w:rsid w:val="006F35A7"/>
    <w:rsid w:val="00786E1E"/>
    <w:rsid w:val="00795043"/>
    <w:rsid w:val="007D066F"/>
    <w:rsid w:val="007D08FB"/>
    <w:rsid w:val="007D41FA"/>
    <w:rsid w:val="008014A0"/>
    <w:rsid w:val="00850E0D"/>
    <w:rsid w:val="008A76E0"/>
    <w:rsid w:val="008C6E4C"/>
    <w:rsid w:val="008D36A2"/>
    <w:rsid w:val="008E00E6"/>
    <w:rsid w:val="009C66C9"/>
    <w:rsid w:val="009D59B1"/>
    <w:rsid w:val="009F4F14"/>
    <w:rsid w:val="00A3148C"/>
    <w:rsid w:val="00A366B5"/>
    <w:rsid w:val="00A40BEA"/>
    <w:rsid w:val="00AB5844"/>
    <w:rsid w:val="00AD497C"/>
    <w:rsid w:val="00B016F1"/>
    <w:rsid w:val="00B03408"/>
    <w:rsid w:val="00B26B9A"/>
    <w:rsid w:val="00B860C9"/>
    <w:rsid w:val="00BC41AA"/>
    <w:rsid w:val="00BD581D"/>
    <w:rsid w:val="00BF3638"/>
    <w:rsid w:val="00C415A7"/>
    <w:rsid w:val="00CB5A52"/>
    <w:rsid w:val="00CB6913"/>
    <w:rsid w:val="00D17BB9"/>
    <w:rsid w:val="00D20997"/>
    <w:rsid w:val="00D2717A"/>
    <w:rsid w:val="00D63B33"/>
    <w:rsid w:val="00D6658F"/>
    <w:rsid w:val="00D82B6E"/>
    <w:rsid w:val="00E00C53"/>
    <w:rsid w:val="00E14F51"/>
    <w:rsid w:val="00E233B1"/>
    <w:rsid w:val="00E8672F"/>
    <w:rsid w:val="00EB21B7"/>
    <w:rsid w:val="00F10C39"/>
    <w:rsid w:val="00F31A0F"/>
    <w:rsid w:val="00F538CD"/>
    <w:rsid w:val="00F67141"/>
    <w:rsid w:val="00F76A15"/>
    <w:rsid w:val="00FA314D"/>
    <w:rsid w:val="00FC3FB6"/>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D342DC"/>
    <w:rPr>
      <w:sz w:val="24"/>
      <w:szCs w:val="24"/>
    </w:rPr>
  </w:style>
  <w:style w:type="paragraph" w:styleId="Heading1">
    <w:name w:val="heading 1"/>
    <w:basedOn w:val="Normal"/>
    <w:next w:val="Normal"/>
    <w:qFormat/>
    <w:rsid w:val="00D342DC"/>
    <w:pPr>
      <w:keepNext/>
      <w:spacing w:before="240" w:after="60" w:line="480" w:lineRule="auto"/>
      <w:ind w:firstLine="360"/>
      <w:outlineLvl w:val="0"/>
    </w:pPr>
    <w:rPr>
      <w:rFonts w:ascii="Arial" w:hAnsi="Arial"/>
      <w:b/>
      <w:kern w:val="28"/>
      <w:sz w:val="28"/>
      <w:szCs w:val="20"/>
    </w:rPr>
  </w:style>
  <w:style w:type="paragraph" w:styleId="Heading2">
    <w:name w:val="heading 2"/>
    <w:basedOn w:val="Normal"/>
    <w:next w:val="Normal"/>
    <w:qFormat/>
    <w:rsid w:val="00D342DC"/>
    <w:pPr>
      <w:keepNext/>
      <w:spacing w:before="240" w:after="60" w:line="480" w:lineRule="auto"/>
      <w:ind w:firstLine="360"/>
      <w:outlineLvl w:val="1"/>
    </w:pPr>
    <w:rPr>
      <w:rFonts w:ascii="Arial" w:hAnsi="Arial"/>
      <w:b/>
      <w:i/>
      <w:szCs w:val="20"/>
    </w:rPr>
  </w:style>
  <w:style w:type="paragraph" w:styleId="Heading3">
    <w:name w:val="heading 3"/>
    <w:basedOn w:val="Normal"/>
    <w:next w:val="Normal"/>
    <w:qFormat/>
    <w:rsid w:val="00D342DC"/>
    <w:pPr>
      <w:keepNext/>
      <w:spacing w:before="240" w:after="60" w:line="480" w:lineRule="auto"/>
      <w:ind w:firstLine="360"/>
      <w:outlineLvl w:val="2"/>
    </w:pPr>
    <w:rPr>
      <w:rFonts w:ascii="Arial" w:hAnsi="Arial"/>
      <w:szCs w:val="20"/>
    </w:rPr>
  </w:style>
  <w:style w:type="paragraph" w:styleId="Heading4">
    <w:name w:val="heading 4"/>
    <w:basedOn w:val="Normal"/>
    <w:next w:val="Normal"/>
    <w:qFormat/>
    <w:rsid w:val="00D342DC"/>
    <w:pPr>
      <w:keepNext/>
      <w:spacing w:before="240" w:after="60" w:line="480" w:lineRule="auto"/>
      <w:ind w:firstLine="360"/>
      <w:outlineLvl w:val="3"/>
    </w:pPr>
    <w:rPr>
      <w:rFonts w:ascii="Arial" w:hAnsi="Arial"/>
      <w:b/>
      <w:szCs w:val="20"/>
    </w:rPr>
  </w:style>
  <w:style w:type="paragraph" w:styleId="Heading5">
    <w:name w:val="heading 5"/>
    <w:basedOn w:val="Normal"/>
    <w:next w:val="Normal"/>
    <w:qFormat/>
    <w:rsid w:val="00D342DC"/>
    <w:pPr>
      <w:spacing w:before="240" w:after="60" w:line="480" w:lineRule="auto"/>
      <w:ind w:firstLine="360"/>
      <w:outlineLvl w:val="4"/>
    </w:pPr>
    <w:rPr>
      <w:sz w:val="22"/>
      <w:szCs w:val="20"/>
    </w:rPr>
  </w:style>
  <w:style w:type="paragraph" w:styleId="Heading6">
    <w:name w:val="heading 6"/>
    <w:basedOn w:val="Normal"/>
    <w:next w:val="Normal"/>
    <w:qFormat/>
    <w:rsid w:val="00D342DC"/>
    <w:pPr>
      <w:spacing w:before="240" w:after="60" w:line="480" w:lineRule="auto"/>
      <w:ind w:firstLine="360"/>
      <w:outlineLvl w:val="5"/>
    </w:pPr>
    <w:rPr>
      <w:i/>
      <w:sz w:val="22"/>
      <w:szCs w:val="20"/>
    </w:rPr>
  </w:style>
  <w:style w:type="paragraph" w:styleId="Heading7">
    <w:name w:val="heading 7"/>
    <w:basedOn w:val="Normal"/>
    <w:next w:val="Normal"/>
    <w:qFormat/>
    <w:rsid w:val="00D342DC"/>
    <w:pPr>
      <w:spacing w:before="240" w:after="60" w:line="480" w:lineRule="auto"/>
      <w:ind w:firstLine="360"/>
      <w:outlineLvl w:val="6"/>
    </w:pPr>
    <w:rPr>
      <w:rFonts w:ascii="Arial" w:hAnsi="Arial"/>
      <w:sz w:val="20"/>
      <w:szCs w:val="20"/>
    </w:rPr>
  </w:style>
  <w:style w:type="paragraph" w:styleId="Heading8">
    <w:name w:val="heading 8"/>
    <w:basedOn w:val="Normal"/>
    <w:next w:val="Normal"/>
    <w:qFormat/>
    <w:rsid w:val="00D342DC"/>
    <w:pPr>
      <w:spacing w:before="240" w:after="60" w:line="480" w:lineRule="auto"/>
      <w:ind w:firstLine="360"/>
      <w:outlineLvl w:val="7"/>
    </w:pPr>
    <w:rPr>
      <w:rFonts w:ascii="Arial" w:hAnsi="Arial"/>
      <w:i/>
      <w:sz w:val="20"/>
      <w:szCs w:val="20"/>
    </w:rPr>
  </w:style>
  <w:style w:type="paragraph" w:styleId="Heading9">
    <w:name w:val="heading 9"/>
    <w:basedOn w:val="Normal"/>
    <w:next w:val="Normal"/>
    <w:qFormat/>
    <w:rsid w:val="00D342DC"/>
    <w:pPr>
      <w:spacing w:before="240" w:after="60" w:line="480" w:lineRule="auto"/>
      <w:ind w:firstLine="3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W-Body">
    <w:name w:val="WW-Body"/>
    <w:basedOn w:val="Normal"/>
    <w:rsid w:val="00D342DC"/>
    <w:pPr>
      <w:suppressAutoHyphens/>
    </w:pPr>
    <w:rPr>
      <w:szCs w:val="20"/>
    </w:rPr>
  </w:style>
  <w:style w:type="character" w:styleId="FootnoteReference">
    <w:name w:val="footnote reference"/>
    <w:rsid w:val="00D342DC"/>
    <w:rPr>
      <w:rFonts w:ascii="Times New Roman" w:hAnsi="Times New Roman"/>
      <w:dstrike w:val="0"/>
      <w:color w:val="auto"/>
      <w:kern w:val="0"/>
      <w:position w:val="0"/>
      <w:sz w:val="24"/>
      <w:vertAlign w:val="superscript"/>
    </w:rPr>
  </w:style>
  <w:style w:type="paragraph" w:styleId="FootnoteText">
    <w:name w:val="footnote text"/>
    <w:basedOn w:val="Normal"/>
    <w:rsid w:val="00D342DC"/>
    <w:pPr>
      <w:ind w:firstLine="360"/>
    </w:pPr>
    <w:rPr>
      <w:szCs w:val="20"/>
    </w:rPr>
  </w:style>
  <w:style w:type="character" w:styleId="CommentReference">
    <w:name w:val="annotation reference"/>
    <w:semiHidden/>
    <w:rsid w:val="00D342DC"/>
    <w:rPr>
      <w:sz w:val="18"/>
    </w:rPr>
  </w:style>
  <w:style w:type="paragraph" w:styleId="CommentText">
    <w:name w:val="annotation text"/>
    <w:basedOn w:val="Normal"/>
    <w:semiHidden/>
    <w:rsid w:val="00D342DC"/>
  </w:style>
  <w:style w:type="paragraph" w:styleId="BalloonText">
    <w:name w:val="Balloon Text"/>
    <w:basedOn w:val="Normal"/>
    <w:semiHidden/>
    <w:rsid w:val="00D342DC"/>
    <w:rPr>
      <w:rFonts w:ascii="Lucida Grande" w:hAnsi="Lucida Grande"/>
      <w:sz w:val="18"/>
      <w:szCs w:val="18"/>
    </w:rPr>
  </w:style>
  <w:style w:type="paragraph" w:styleId="CommentSubject">
    <w:name w:val="annotation subject"/>
    <w:basedOn w:val="CommentText"/>
    <w:next w:val="CommentText"/>
    <w:semiHidden/>
    <w:rsid w:val="00D342DC"/>
  </w:style>
  <w:style w:type="character" w:styleId="EndnoteReference">
    <w:name w:val="endnote reference"/>
    <w:rsid w:val="00D342DC"/>
    <w:rPr>
      <w:vertAlign w:val="superscript"/>
    </w:rPr>
  </w:style>
  <w:style w:type="paragraph" w:styleId="TOC3">
    <w:name w:val="toc 3"/>
    <w:basedOn w:val="Normal"/>
    <w:next w:val="Normal"/>
    <w:rsid w:val="00D342DC"/>
    <w:pPr>
      <w:spacing w:line="480" w:lineRule="auto"/>
      <w:ind w:left="480" w:firstLine="360"/>
    </w:pPr>
    <w:rPr>
      <w:i/>
      <w:sz w:val="20"/>
      <w:szCs w:val="20"/>
    </w:rPr>
  </w:style>
  <w:style w:type="paragraph" w:styleId="TOC2">
    <w:name w:val="toc 2"/>
    <w:basedOn w:val="Normal"/>
    <w:next w:val="Normal"/>
    <w:rsid w:val="00D342DC"/>
    <w:pPr>
      <w:spacing w:line="480" w:lineRule="auto"/>
      <w:ind w:left="240" w:firstLine="360"/>
    </w:pPr>
    <w:rPr>
      <w:smallCaps/>
      <w:sz w:val="20"/>
      <w:szCs w:val="20"/>
    </w:rPr>
  </w:style>
  <w:style w:type="paragraph" w:styleId="TOC1">
    <w:name w:val="toc 1"/>
    <w:basedOn w:val="Normal"/>
    <w:next w:val="Normal"/>
    <w:rsid w:val="00D342DC"/>
    <w:pPr>
      <w:spacing w:before="120" w:after="120" w:line="480" w:lineRule="auto"/>
      <w:ind w:firstLine="360"/>
    </w:pPr>
    <w:rPr>
      <w:b/>
      <w:caps/>
      <w:sz w:val="20"/>
      <w:szCs w:val="20"/>
    </w:rPr>
  </w:style>
  <w:style w:type="paragraph" w:styleId="Footer">
    <w:name w:val="footer"/>
    <w:basedOn w:val="Normal"/>
    <w:link w:val="FooterChar"/>
    <w:uiPriority w:val="99"/>
    <w:rsid w:val="00D342DC"/>
    <w:pPr>
      <w:tabs>
        <w:tab w:val="center" w:pos="4320"/>
        <w:tab w:val="right" w:pos="8640"/>
      </w:tabs>
      <w:spacing w:line="480" w:lineRule="auto"/>
      <w:ind w:firstLine="360"/>
    </w:pPr>
    <w:rPr>
      <w:szCs w:val="20"/>
    </w:rPr>
  </w:style>
  <w:style w:type="paragraph" w:styleId="Header">
    <w:name w:val="header"/>
    <w:basedOn w:val="Normal"/>
    <w:link w:val="HeaderChar"/>
    <w:uiPriority w:val="99"/>
    <w:rsid w:val="00D342DC"/>
    <w:pPr>
      <w:tabs>
        <w:tab w:val="center" w:pos="4320"/>
        <w:tab w:val="right" w:pos="8640"/>
      </w:tabs>
      <w:spacing w:line="480" w:lineRule="auto"/>
      <w:ind w:firstLine="360"/>
    </w:pPr>
    <w:rPr>
      <w:szCs w:val="20"/>
    </w:rPr>
  </w:style>
  <w:style w:type="character" w:styleId="PageNumber">
    <w:name w:val="page number"/>
    <w:basedOn w:val="DefaultParagraphFont"/>
    <w:rsid w:val="00D342DC"/>
  </w:style>
  <w:style w:type="paragraph" w:customStyle="1" w:styleId="longquote">
    <w:name w:val="long quote"/>
    <w:rsid w:val="00D342DC"/>
    <w:pPr>
      <w:ind w:left="360" w:firstLine="360"/>
      <w:jc w:val="both"/>
    </w:pPr>
    <w:rPr>
      <w:rFonts w:ascii="Times" w:hAnsi="Times"/>
      <w:sz w:val="24"/>
    </w:rPr>
  </w:style>
  <w:style w:type="paragraph" w:customStyle="1" w:styleId="NumberedHead">
    <w:name w:val="Numbered Head"/>
    <w:rsid w:val="00D342DC"/>
    <w:pPr>
      <w:spacing w:line="480" w:lineRule="atLeast"/>
    </w:pPr>
    <w:rPr>
      <w:rFonts w:ascii="Times" w:hAnsi="Times"/>
      <w:b/>
      <w:sz w:val="24"/>
    </w:rPr>
  </w:style>
  <w:style w:type="paragraph" w:customStyle="1" w:styleId="subheads">
    <w:name w:val="sub heads"/>
    <w:basedOn w:val="longquote"/>
    <w:rsid w:val="00D342DC"/>
    <w:pPr>
      <w:spacing w:line="480" w:lineRule="atLeast"/>
      <w:ind w:left="0"/>
    </w:pPr>
    <w:rPr>
      <w:b/>
    </w:rPr>
  </w:style>
  <w:style w:type="paragraph" w:customStyle="1" w:styleId="subheadtext">
    <w:name w:val="subhead text"/>
    <w:basedOn w:val="subheads"/>
    <w:rsid w:val="00D342DC"/>
    <w:pPr>
      <w:spacing w:line="240" w:lineRule="auto"/>
      <w:ind w:left="360"/>
    </w:pPr>
    <w:rPr>
      <w:b w:val="0"/>
    </w:rPr>
  </w:style>
  <w:style w:type="paragraph" w:customStyle="1" w:styleId="ReferenceStyle">
    <w:name w:val="Reference Style"/>
    <w:basedOn w:val="Normal"/>
    <w:rsid w:val="00D342DC"/>
    <w:pPr>
      <w:ind w:left="720" w:hanging="360"/>
    </w:pPr>
    <w:rPr>
      <w:szCs w:val="20"/>
    </w:rPr>
  </w:style>
  <w:style w:type="paragraph" w:styleId="Caption">
    <w:name w:val="caption"/>
    <w:basedOn w:val="Normal"/>
    <w:next w:val="Normal"/>
    <w:qFormat/>
    <w:rsid w:val="00D342DC"/>
    <w:pPr>
      <w:spacing w:before="120" w:after="120" w:line="480" w:lineRule="auto"/>
      <w:ind w:firstLine="360"/>
    </w:pPr>
    <w:rPr>
      <w:b/>
      <w:szCs w:val="20"/>
    </w:rPr>
  </w:style>
  <w:style w:type="paragraph" w:customStyle="1" w:styleId="H3">
    <w:name w:val="H3"/>
    <w:basedOn w:val="Normal"/>
    <w:next w:val="Normal"/>
    <w:rsid w:val="00D342DC"/>
    <w:pPr>
      <w:keepNext/>
      <w:spacing w:before="100" w:after="100"/>
      <w:outlineLvl w:val="3"/>
    </w:pPr>
    <w:rPr>
      <w:b/>
      <w:snapToGrid w:val="0"/>
      <w:sz w:val="28"/>
      <w:szCs w:val="20"/>
    </w:rPr>
  </w:style>
  <w:style w:type="paragraph" w:styleId="TableofFigures">
    <w:name w:val="table of figures"/>
    <w:basedOn w:val="Normal"/>
    <w:next w:val="Normal"/>
    <w:rsid w:val="00D342DC"/>
    <w:pPr>
      <w:tabs>
        <w:tab w:val="right" w:leader="dot" w:pos="8280"/>
      </w:tabs>
      <w:spacing w:line="480" w:lineRule="auto"/>
      <w:ind w:left="480" w:hanging="480"/>
    </w:pPr>
    <w:rPr>
      <w:szCs w:val="20"/>
    </w:rPr>
  </w:style>
  <w:style w:type="paragraph" w:styleId="TOC4">
    <w:name w:val="toc 4"/>
    <w:basedOn w:val="Normal"/>
    <w:next w:val="Normal"/>
    <w:autoRedefine/>
    <w:rsid w:val="00D342DC"/>
    <w:pPr>
      <w:spacing w:line="480" w:lineRule="auto"/>
      <w:ind w:left="720" w:firstLine="360"/>
    </w:pPr>
    <w:rPr>
      <w:sz w:val="18"/>
      <w:szCs w:val="18"/>
    </w:rPr>
  </w:style>
  <w:style w:type="paragraph" w:styleId="TOC5">
    <w:name w:val="toc 5"/>
    <w:basedOn w:val="Normal"/>
    <w:next w:val="Normal"/>
    <w:autoRedefine/>
    <w:rsid w:val="00D342DC"/>
    <w:pPr>
      <w:spacing w:line="480" w:lineRule="auto"/>
      <w:ind w:left="960" w:firstLine="360"/>
    </w:pPr>
    <w:rPr>
      <w:sz w:val="18"/>
      <w:szCs w:val="18"/>
    </w:rPr>
  </w:style>
  <w:style w:type="paragraph" w:styleId="TOC6">
    <w:name w:val="toc 6"/>
    <w:basedOn w:val="Normal"/>
    <w:next w:val="Normal"/>
    <w:autoRedefine/>
    <w:rsid w:val="00D342DC"/>
    <w:pPr>
      <w:spacing w:line="480" w:lineRule="auto"/>
      <w:ind w:left="1200" w:firstLine="360"/>
    </w:pPr>
    <w:rPr>
      <w:sz w:val="18"/>
      <w:szCs w:val="18"/>
    </w:rPr>
  </w:style>
  <w:style w:type="paragraph" w:styleId="TOC7">
    <w:name w:val="toc 7"/>
    <w:basedOn w:val="Normal"/>
    <w:next w:val="Normal"/>
    <w:autoRedefine/>
    <w:rsid w:val="00D342DC"/>
    <w:pPr>
      <w:spacing w:line="480" w:lineRule="auto"/>
      <w:ind w:left="1440" w:firstLine="360"/>
    </w:pPr>
    <w:rPr>
      <w:sz w:val="18"/>
      <w:szCs w:val="18"/>
    </w:rPr>
  </w:style>
  <w:style w:type="paragraph" w:styleId="TOC8">
    <w:name w:val="toc 8"/>
    <w:basedOn w:val="Normal"/>
    <w:next w:val="Normal"/>
    <w:autoRedefine/>
    <w:rsid w:val="00D342DC"/>
    <w:pPr>
      <w:spacing w:line="480" w:lineRule="auto"/>
      <w:ind w:left="1680" w:firstLine="360"/>
    </w:pPr>
    <w:rPr>
      <w:sz w:val="18"/>
      <w:szCs w:val="18"/>
    </w:rPr>
  </w:style>
  <w:style w:type="paragraph" w:styleId="TOC9">
    <w:name w:val="toc 9"/>
    <w:basedOn w:val="Normal"/>
    <w:next w:val="Normal"/>
    <w:autoRedefine/>
    <w:rsid w:val="00D342DC"/>
    <w:pPr>
      <w:spacing w:line="480" w:lineRule="auto"/>
      <w:ind w:left="1920" w:firstLine="360"/>
    </w:pPr>
    <w:rPr>
      <w:sz w:val="18"/>
      <w:szCs w:val="18"/>
    </w:rPr>
  </w:style>
  <w:style w:type="paragraph" w:styleId="BlockText">
    <w:name w:val="Block Text"/>
    <w:basedOn w:val="Normal"/>
    <w:rsid w:val="00D342DC"/>
    <w:pPr>
      <w:spacing w:after="120" w:line="480" w:lineRule="auto"/>
      <w:ind w:left="1440" w:right="1440" w:firstLine="360"/>
    </w:pPr>
    <w:rPr>
      <w:szCs w:val="20"/>
    </w:rPr>
  </w:style>
  <w:style w:type="paragraph" w:styleId="BodyText">
    <w:name w:val="Body Text"/>
    <w:basedOn w:val="Normal"/>
    <w:rsid w:val="00D342DC"/>
    <w:pPr>
      <w:spacing w:after="120" w:line="480" w:lineRule="auto"/>
      <w:ind w:firstLine="360"/>
    </w:pPr>
    <w:rPr>
      <w:szCs w:val="20"/>
    </w:rPr>
  </w:style>
  <w:style w:type="paragraph" w:styleId="BodyText2">
    <w:name w:val="Body Text 2"/>
    <w:basedOn w:val="Normal"/>
    <w:rsid w:val="00D342DC"/>
    <w:pPr>
      <w:spacing w:after="120" w:line="480" w:lineRule="auto"/>
      <w:ind w:firstLine="360"/>
    </w:pPr>
    <w:rPr>
      <w:szCs w:val="20"/>
    </w:rPr>
  </w:style>
  <w:style w:type="paragraph" w:styleId="BodyText3">
    <w:name w:val="Body Text 3"/>
    <w:basedOn w:val="Normal"/>
    <w:rsid w:val="00D342DC"/>
    <w:pPr>
      <w:spacing w:after="120" w:line="480" w:lineRule="auto"/>
      <w:ind w:firstLine="360"/>
    </w:pPr>
    <w:rPr>
      <w:sz w:val="16"/>
      <w:szCs w:val="20"/>
    </w:rPr>
  </w:style>
  <w:style w:type="paragraph" w:styleId="BodyTextFirstIndent">
    <w:name w:val="Body Text First Indent"/>
    <w:basedOn w:val="BodyText"/>
    <w:rsid w:val="00D342DC"/>
    <w:pPr>
      <w:ind w:firstLine="210"/>
    </w:pPr>
  </w:style>
  <w:style w:type="paragraph" w:styleId="BodyTextIndent">
    <w:name w:val="Body Text Indent"/>
    <w:basedOn w:val="Normal"/>
    <w:rsid w:val="00D342DC"/>
    <w:pPr>
      <w:spacing w:after="120" w:line="480" w:lineRule="auto"/>
      <w:ind w:left="360" w:firstLine="360"/>
    </w:pPr>
    <w:rPr>
      <w:szCs w:val="20"/>
    </w:rPr>
  </w:style>
  <w:style w:type="paragraph" w:styleId="BodyTextFirstIndent2">
    <w:name w:val="Body Text First Indent 2"/>
    <w:basedOn w:val="BodyTextIndent"/>
    <w:rsid w:val="00D342DC"/>
    <w:pPr>
      <w:ind w:firstLine="210"/>
    </w:pPr>
  </w:style>
  <w:style w:type="paragraph" w:styleId="BodyTextIndent2">
    <w:name w:val="Body Text Indent 2"/>
    <w:basedOn w:val="Normal"/>
    <w:rsid w:val="00D342DC"/>
    <w:pPr>
      <w:spacing w:after="120" w:line="480" w:lineRule="auto"/>
      <w:ind w:left="360" w:firstLine="360"/>
    </w:pPr>
    <w:rPr>
      <w:szCs w:val="20"/>
    </w:rPr>
  </w:style>
  <w:style w:type="paragraph" w:styleId="BodyTextIndent3">
    <w:name w:val="Body Text Indent 3"/>
    <w:basedOn w:val="Normal"/>
    <w:rsid w:val="00D342DC"/>
    <w:pPr>
      <w:spacing w:after="120" w:line="480" w:lineRule="auto"/>
      <w:ind w:left="360" w:firstLine="360"/>
    </w:pPr>
    <w:rPr>
      <w:sz w:val="16"/>
      <w:szCs w:val="20"/>
    </w:rPr>
  </w:style>
  <w:style w:type="paragraph" w:styleId="Closing">
    <w:name w:val="Closing"/>
    <w:basedOn w:val="Normal"/>
    <w:rsid w:val="00D342DC"/>
    <w:pPr>
      <w:spacing w:line="480" w:lineRule="auto"/>
      <w:ind w:left="4320" w:firstLine="360"/>
    </w:pPr>
    <w:rPr>
      <w:szCs w:val="20"/>
    </w:rPr>
  </w:style>
  <w:style w:type="paragraph" w:styleId="Date">
    <w:name w:val="Date"/>
    <w:basedOn w:val="Normal"/>
    <w:next w:val="Normal"/>
    <w:rsid w:val="00D342DC"/>
    <w:pPr>
      <w:spacing w:line="480" w:lineRule="auto"/>
      <w:ind w:firstLine="360"/>
    </w:pPr>
    <w:rPr>
      <w:szCs w:val="20"/>
    </w:rPr>
  </w:style>
  <w:style w:type="paragraph" w:styleId="DocumentMap">
    <w:name w:val="Document Map"/>
    <w:basedOn w:val="Normal"/>
    <w:rsid w:val="00D342DC"/>
    <w:pPr>
      <w:shd w:val="clear" w:color="auto" w:fill="000080"/>
      <w:spacing w:line="480" w:lineRule="auto"/>
      <w:ind w:firstLine="360"/>
    </w:pPr>
    <w:rPr>
      <w:rFonts w:ascii="Tahoma" w:hAnsi="Tahoma"/>
      <w:szCs w:val="20"/>
    </w:rPr>
  </w:style>
  <w:style w:type="paragraph" w:styleId="EndnoteText">
    <w:name w:val="endnote text"/>
    <w:basedOn w:val="Normal"/>
    <w:rsid w:val="00D342DC"/>
    <w:pPr>
      <w:spacing w:line="480" w:lineRule="auto"/>
      <w:ind w:firstLine="360"/>
    </w:pPr>
    <w:rPr>
      <w:sz w:val="20"/>
      <w:szCs w:val="20"/>
    </w:rPr>
  </w:style>
  <w:style w:type="paragraph" w:styleId="EnvelopeAddress">
    <w:name w:val="envelope address"/>
    <w:basedOn w:val="Normal"/>
    <w:rsid w:val="00D342DC"/>
    <w:pPr>
      <w:framePr w:w="7920" w:h="1980" w:hRule="exact" w:hSpace="180" w:wrap="auto" w:hAnchor="page" w:xAlign="center" w:yAlign="bottom"/>
      <w:spacing w:line="480" w:lineRule="auto"/>
      <w:ind w:left="2880" w:firstLine="360"/>
    </w:pPr>
    <w:rPr>
      <w:rFonts w:ascii="Arial" w:hAnsi="Arial"/>
      <w:szCs w:val="20"/>
    </w:rPr>
  </w:style>
  <w:style w:type="paragraph" w:styleId="EnvelopeReturn">
    <w:name w:val="envelope return"/>
    <w:basedOn w:val="Normal"/>
    <w:rsid w:val="00D342DC"/>
    <w:pPr>
      <w:spacing w:line="480" w:lineRule="auto"/>
      <w:ind w:firstLine="360"/>
    </w:pPr>
    <w:rPr>
      <w:rFonts w:ascii="Arial" w:hAnsi="Arial"/>
      <w:sz w:val="20"/>
      <w:szCs w:val="20"/>
    </w:rPr>
  </w:style>
  <w:style w:type="paragraph" w:styleId="Index1">
    <w:name w:val="index 1"/>
    <w:basedOn w:val="Normal"/>
    <w:next w:val="Normal"/>
    <w:autoRedefine/>
    <w:rsid w:val="00D342DC"/>
    <w:pPr>
      <w:spacing w:line="480" w:lineRule="auto"/>
      <w:ind w:left="240" w:hanging="240"/>
    </w:pPr>
    <w:rPr>
      <w:szCs w:val="20"/>
    </w:rPr>
  </w:style>
  <w:style w:type="paragraph" w:styleId="Index2">
    <w:name w:val="index 2"/>
    <w:basedOn w:val="Normal"/>
    <w:next w:val="Normal"/>
    <w:autoRedefine/>
    <w:rsid w:val="00D342DC"/>
    <w:pPr>
      <w:spacing w:line="480" w:lineRule="auto"/>
      <w:ind w:left="480" w:hanging="240"/>
    </w:pPr>
    <w:rPr>
      <w:szCs w:val="20"/>
    </w:rPr>
  </w:style>
  <w:style w:type="paragraph" w:styleId="Index3">
    <w:name w:val="index 3"/>
    <w:basedOn w:val="Normal"/>
    <w:next w:val="Normal"/>
    <w:autoRedefine/>
    <w:rsid w:val="00D342DC"/>
    <w:pPr>
      <w:spacing w:line="480" w:lineRule="auto"/>
      <w:ind w:left="720" w:hanging="240"/>
    </w:pPr>
    <w:rPr>
      <w:szCs w:val="20"/>
    </w:rPr>
  </w:style>
  <w:style w:type="paragraph" w:styleId="Index4">
    <w:name w:val="index 4"/>
    <w:basedOn w:val="Normal"/>
    <w:next w:val="Normal"/>
    <w:autoRedefine/>
    <w:rsid w:val="00D342DC"/>
    <w:pPr>
      <w:spacing w:line="480" w:lineRule="auto"/>
      <w:ind w:left="960" w:hanging="240"/>
    </w:pPr>
    <w:rPr>
      <w:szCs w:val="20"/>
    </w:rPr>
  </w:style>
  <w:style w:type="paragraph" w:styleId="Index5">
    <w:name w:val="index 5"/>
    <w:basedOn w:val="Normal"/>
    <w:next w:val="Normal"/>
    <w:autoRedefine/>
    <w:rsid w:val="00D342DC"/>
    <w:pPr>
      <w:spacing w:line="480" w:lineRule="auto"/>
      <w:ind w:left="1200" w:hanging="240"/>
    </w:pPr>
    <w:rPr>
      <w:szCs w:val="20"/>
    </w:rPr>
  </w:style>
  <w:style w:type="paragraph" w:styleId="Index6">
    <w:name w:val="index 6"/>
    <w:basedOn w:val="Normal"/>
    <w:next w:val="Normal"/>
    <w:autoRedefine/>
    <w:rsid w:val="00D342DC"/>
    <w:pPr>
      <w:spacing w:line="480" w:lineRule="auto"/>
      <w:ind w:left="1440" w:hanging="240"/>
    </w:pPr>
    <w:rPr>
      <w:szCs w:val="20"/>
    </w:rPr>
  </w:style>
  <w:style w:type="paragraph" w:styleId="Index7">
    <w:name w:val="index 7"/>
    <w:basedOn w:val="Normal"/>
    <w:next w:val="Normal"/>
    <w:autoRedefine/>
    <w:rsid w:val="00D342DC"/>
    <w:pPr>
      <w:spacing w:line="480" w:lineRule="auto"/>
      <w:ind w:left="1680" w:hanging="240"/>
    </w:pPr>
    <w:rPr>
      <w:szCs w:val="20"/>
    </w:rPr>
  </w:style>
  <w:style w:type="paragraph" w:styleId="Index8">
    <w:name w:val="index 8"/>
    <w:basedOn w:val="Normal"/>
    <w:next w:val="Normal"/>
    <w:autoRedefine/>
    <w:rsid w:val="00D342DC"/>
    <w:pPr>
      <w:spacing w:line="480" w:lineRule="auto"/>
      <w:ind w:left="1920" w:hanging="240"/>
    </w:pPr>
    <w:rPr>
      <w:szCs w:val="20"/>
    </w:rPr>
  </w:style>
  <w:style w:type="paragraph" w:styleId="Index9">
    <w:name w:val="index 9"/>
    <w:basedOn w:val="Normal"/>
    <w:next w:val="Normal"/>
    <w:autoRedefine/>
    <w:rsid w:val="00D342DC"/>
    <w:pPr>
      <w:spacing w:line="480" w:lineRule="auto"/>
      <w:ind w:left="2160" w:hanging="240"/>
    </w:pPr>
    <w:rPr>
      <w:szCs w:val="20"/>
    </w:rPr>
  </w:style>
  <w:style w:type="paragraph" w:styleId="IndexHeading">
    <w:name w:val="index heading"/>
    <w:basedOn w:val="Normal"/>
    <w:next w:val="Index1"/>
    <w:rsid w:val="00D342DC"/>
    <w:pPr>
      <w:spacing w:line="480" w:lineRule="auto"/>
      <w:ind w:firstLine="360"/>
    </w:pPr>
    <w:rPr>
      <w:rFonts w:ascii="Arial" w:hAnsi="Arial"/>
      <w:b/>
      <w:szCs w:val="20"/>
    </w:rPr>
  </w:style>
  <w:style w:type="paragraph" w:styleId="List">
    <w:name w:val="List"/>
    <w:basedOn w:val="Normal"/>
    <w:rsid w:val="00D342DC"/>
    <w:pPr>
      <w:spacing w:line="480" w:lineRule="auto"/>
      <w:ind w:left="360" w:hanging="360"/>
    </w:pPr>
    <w:rPr>
      <w:szCs w:val="20"/>
    </w:rPr>
  </w:style>
  <w:style w:type="paragraph" w:styleId="List2">
    <w:name w:val="List 2"/>
    <w:basedOn w:val="Normal"/>
    <w:rsid w:val="00D342DC"/>
    <w:pPr>
      <w:spacing w:line="480" w:lineRule="auto"/>
      <w:ind w:left="720" w:hanging="360"/>
    </w:pPr>
    <w:rPr>
      <w:szCs w:val="20"/>
    </w:rPr>
  </w:style>
  <w:style w:type="paragraph" w:styleId="List3">
    <w:name w:val="List 3"/>
    <w:basedOn w:val="Normal"/>
    <w:rsid w:val="00D342DC"/>
    <w:pPr>
      <w:spacing w:line="480" w:lineRule="auto"/>
      <w:ind w:left="1080" w:hanging="360"/>
    </w:pPr>
    <w:rPr>
      <w:szCs w:val="20"/>
    </w:rPr>
  </w:style>
  <w:style w:type="paragraph" w:styleId="List4">
    <w:name w:val="List 4"/>
    <w:basedOn w:val="Normal"/>
    <w:rsid w:val="00D342DC"/>
    <w:pPr>
      <w:spacing w:line="480" w:lineRule="auto"/>
      <w:ind w:left="1440" w:hanging="360"/>
    </w:pPr>
    <w:rPr>
      <w:szCs w:val="20"/>
    </w:rPr>
  </w:style>
  <w:style w:type="paragraph" w:styleId="List5">
    <w:name w:val="List 5"/>
    <w:basedOn w:val="Normal"/>
    <w:rsid w:val="00D342DC"/>
    <w:pPr>
      <w:spacing w:line="480" w:lineRule="auto"/>
      <w:ind w:left="1800" w:hanging="360"/>
    </w:pPr>
    <w:rPr>
      <w:szCs w:val="20"/>
    </w:rPr>
  </w:style>
  <w:style w:type="paragraph" w:styleId="ListBullet">
    <w:name w:val="List Bullet"/>
    <w:basedOn w:val="Normal"/>
    <w:autoRedefine/>
    <w:rsid w:val="00D342DC"/>
    <w:pPr>
      <w:numPr>
        <w:numId w:val="2"/>
      </w:numPr>
      <w:spacing w:line="480" w:lineRule="auto"/>
    </w:pPr>
    <w:rPr>
      <w:szCs w:val="20"/>
    </w:rPr>
  </w:style>
  <w:style w:type="paragraph" w:styleId="ListBullet2">
    <w:name w:val="List Bullet 2"/>
    <w:basedOn w:val="Normal"/>
    <w:autoRedefine/>
    <w:rsid w:val="00D342DC"/>
    <w:pPr>
      <w:numPr>
        <w:numId w:val="3"/>
      </w:numPr>
      <w:spacing w:line="480" w:lineRule="auto"/>
    </w:pPr>
    <w:rPr>
      <w:szCs w:val="20"/>
    </w:rPr>
  </w:style>
  <w:style w:type="paragraph" w:styleId="ListBullet3">
    <w:name w:val="List Bullet 3"/>
    <w:basedOn w:val="Normal"/>
    <w:autoRedefine/>
    <w:rsid w:val="00D342DC"/>
    <w:pPr>
      <w:numPr>
        <w:numId w:val="4"/>
      </w:numPr>
      <w:spacing w:line="480" w:lineRule="auto"/>
    </w:pPr>
    <w:rPr>
      <w:szCs w:val="20"/>
    </w:rPr>
  </w:style>
  <w:style w:type="paragraph" w:styleId="ListBullet4">
    <w:name w:val="List Bullet 4"/>
    <w:basedOn w:val="Normal"/>
    <w:autoRedefine/>
    <w:rsid w:val="00D342DC"/>
    <w:pPr>
      <w:numPr>
        <w:numId w:val="5"/>
      </w:numPr>
      <w:spacing w:line="480" w:lineRule="auto"/>
    </w:pPr>
    <w:rPr>
      <w:szCs w:val="20"/>
    </w:rPr>
  </w:style>
  <w:style w:type="paragraph" w:styleId="ListBullet5">
    <w:name w:val="List Bullet 5"/>
    <w:basedOn w:val="Normal"/>
    <w:autoRedefine/>
    <w:rsid w:val="00D342DC"/>
    <w:pPr>
      <w:numPr>
        <w:numId w:val="6"/>
      </w:numPr>
      <w:spacing w:line="480" w:lineRule="auto"/>
    </w:pPr>
    <w:rPr>
      <w:szCs w:val="20"/>
    </w:rPr>
  </w:style>
  <w:style w:type="paragraph" w:styleId="ListContinue">
    <w:name w:val="List Continue"/>
    <w:basedOn w:val="Normal"/>
    <w:rsid w:val="00D342DC"/>
    <w:pPr>
      <w:spacing w:after="120" w:line="480" w:lineRule="auto"/>
      <w:ind w:left="360" w:firstLine="360"/>
    </w:pPr>
    <w:rPr>
      <w:szCs w:val="20"/>
    </w:rPr>
  </w:style>
  <w:style w:type="paragraph" w:styleId="ListContinue2">
    <w:name w:val="List Continue 2"/>
    <w:basedOn w:val="Normal"/>
    <w:rsid w:val="00D342DC"/>
    <w:pPr>
      <w:spacing w:after="120" w:line="480" w:lineRule="auto"/>
      <w:ind w:left="720" w:firstLine="360"/>
    </w:pPr>
    <w:rPr>
      <w:szCs w:val="20"/>
    </w:rPr>
  </w:style>
  <w:style w:type="paragraph" w:styleId="ListContinue3">
    <w:name w:val="List Continue 3"/>
    <w:basedOn w:val="Normal"/>
    <w:rsid w:val="00D342DC"/>
    <w:pPr>
      <w:spacing w:after="120" w:line="480" w:lineRule="auto"/>
      <w:ind w:left="1080" w:firstLine="360"/>
    </w:pPr>
    <w:rPr>
      <w:szCs w:val="20"/>
    </w:rPr>
  </w:style>
  <w:style w:type="paragraph" w:styleId="ListContinue4">
    <w:name w:val="List Continue 4"/>
    <w:basedOn w:val="Normal"/>
    <w:rsid w:val="00D342DC"/>
    <w:pPr>
      <w:spacing w:after="120" w:line="480" w:lineRule="auto"/>
      <w:ind w:left="1440" w:firstLine="360"/>
    </w:pPr>
    <w:rPr>
      <w:szCs w:val="20"/>
    </w:rPr>
  </w:style>
  <w:style w:type="paragraph" w:styleId="ListContinue5">
    <w:name w:val="List Continue 5"/>
    <w:basedOn w:val="Normal"/>
    <w:rsid w:val="00D342DC"/>
    <w:pPr>
      <w:spacing w:after="120" w:line="480" w:lineRule="auto"/>
      <w:ind w:left="1800" w:firstLine="360"/>
    </w:pPr>
    <w:rPr>
      <w:szCs w:val="20"/>
    </w:rPr>
  </w:style>
  <w:style w:type="paragraph" w:styleId="ListNumber">
    <w:name w:val="List Number"/>
    <w:basedOn w:val="Normal"/>
    <w:rsid w:val="00D342DC"/>
    <w:pPr>
      <w:numPr>
        <w:numId w:val="7"/>
      </w:numPr>
      <w:spacing w:line="480" w:lineRule="auto"/>
    </w:pPr>
    <w:rPr>
      <w:szCs w:val="20"/>
    </w:rPr>
  </w:style>
  <w:style w:type="paragraph" w:styleId="ListNumber2">
    <w:name w:val="List Number 2"/>
    <w:basedOn w:val="Normal"/>
    <w:rsid w:val="00D342DC"/>
    <w:pPr>
      <w:numPr>
        <w:numId w:val="8"/>
      </w:numPr>
      <w:spacing w:line="480" w:lineRule="auto"/>
    </w:pPr>
    <w:rPr>
      <w:szCs w:val="20"/>
    </w:rPr>
  </w:style>
  <w:style w:type="paragraph" w:styleId="ListNumber3">
    <w:name w:val="List Number 3"/>
    <w:basedOn w:val="Normal"/>
    <w:rsid w:val="00D342DC"/>
    <w:pPr>
      <w:numPr>
        <w:numId w:val="9"/>
      </w:numPr>
      <w:spacing w:line="480" w:lineRule="auto"/>
    </w:pPr>
    <w:rPr>
      <w:szCs w:val="20"/>
    </w:rPr>
  </w:style>
  <w:style w:type="paragraph" w:styleId="ListNumber4">
    <w:name w:val="List Number 4"/>
    <w:basedOn w:val="Normal"/>
    <w:rsid w:val="00D342DC"/>
    <w:pPr>
      <w:numPr>
        <w:numId w:val="10"/>
      </w:numPr>
      <w:spacing w:line="480" w:lineRule="auto"/>
    </w:pPr>
    <w:rPr>
      <w:szCs w:val="20"/>
    </w:rPr>
  </w:style>
  <w:style w:type="paragraph" w:styleId="ListNumber5">
    <w:name w:val="List Number 5"/>
    <w:basedOn w:val="Normal"/>
    <w:rsid w:val="00D342DC"/>
    <w:pPr>
      <w:numPr>
        <w:numId w:val="11"/>
      </w:numPr>
      <w:spacing w:line="480" w:lineRule="auto"/>
    </w:pPr>
    <w:rPr>
      <w:szCs w:val="20"/>
    </w:rPr>
  </w:style>
  <w:style w:type="paragraph" w:styleId="MacroText">
    <w:name w:val="macro"/>
    <w:rsid w:val="00D342DC"/>
    <w:pPr>
      <w:tabs>
        <w:tab w:val="left" w:pos="480"/>
        <w:tab w:val="left" w:pos="960"/>
        <w:tab w:val="left" w:pos="1440"/>
        <w:tab w:val="left" w:pos="1920"/>
        <w:tab w:val="left" w:pos="2400"/>
        <w:tab w:val="left" w:pos="2880"/>
        <w:tab w:val="left" w:pos="3360"/>
        <w:tab w:val="left" w:pos="3840"/>
        <w:tab w:val="left" w:pos="4320"/>
      </w:tabs>
      <w:spacing w:line="480" w:lineRule="auto"/>
      <w:ind w:firstLine="360"/>
    </w:pPr>
    <w:rPr>
      <w:rFonts w:ascii="Courier New" w:hAnsi="Courier New"/>
    </w:rPr>
  </w:style>
  <w:style w:type="paragraph" w:styleId="MessageHeader">
    <w:name w:val="Message Header"/>
    <w:basedOn w:val="Normal"/>
    <w:rsid w:val="00D342DC"/>
    <w:pPr>
      <w:pBdr>
        <w:top w:val="single" w:sz="6" w:space="1" w:color="auto"/>
        <w:left w:val="single" w:sz="6" w:space="1" w:color="auto"/>
        <w:bottom w:val="single" w:sz="6" w:space="1" w:color="auto"/>
        <w:right w:val="single" w:sz="6" w:space="1" w:color="auto"/>
      </w:pBdr>
      <w:shd w:val="pct20" w:color="auto" w:fill="auto"/>
      <w:spacing w:line="480" w:lineRule="auto"/>
      <w:ind w:left="1080" w:hanging="1080"/>
    </w:pPr>
    <w:rPr>
      <w:rFonts w:ascii="Arial" w:hAnsi="Arial"/>
      <w:szCs w:val="20"/>
    </w:rPr>
  </w:style>
  <w:style w:type="paragraph" w:styleId="NormalIndent">
    <w:name w:val="Normal Indent"/>
    <w:basedOn w:val="Normal"/>
    <w:rsid w:val="00D342DC"/>
    <w:pPr>
      <w:spacing w:line="480" w:lineRule="auto"/>
      <w:ind w:left="720" w:firstLine="360"/>
    </w:pPr>
    <w:rPr>
      <w:szCs w:val="20"/>
    </w:rPr>
  </w:style>
  <w:style w:type="paragraph" w:styleId="NoteHeading">
    <w:name w:val="Note Heading"/>
    <w:basedOn w:val="Normal"/>
    <w:next w:val="Normal"/>
    <w:rsid w:val="00D342DC"/>
    <w:pPr>
      <w:spacing w:line="480" w:lineRule="auto"/>
      <w:ind w:firstLine="360"/>
    </w:pPr>
    <w:rPr>
      <w:szCs w:val="20"/>
    </w:rPr>
  </w:style>
  <w:style w:type="paragraph" w:styleId="PlainText">
    <w:name w:val="Plain Text"/>
    <w:basedOn w:val="Normal"/>
    <w:rsid w:val="00D342DC"/>
    <w:pPr>
      <w:spacing w:line="480" w:lineRule="auto"/>
      <w:ind w:firstLine="360"/>
    </w:pPr>
    <w:rPr>
      <w:rFonts w:ascii="Courier New" w:hAnsi="Courier New"/>
      <w:sz w:val="20"/>
      <w:szCs w:val="20"/>
    </w:rPr>
  </w:style>
  <w:style w:type="paragraph" w:styleId="Salutation">
    <w:name w:val="Salutation"/>
    <w:basedOn w:val="Normal"/>
    <w:next w:val="Normal"/>
    <w:rsid w:val="00D342DC"/>
    <w:pPr>
      <w:spacing w:line="480" w:lineRule="auto"/>
      <w:ind w:firstLine="360"/>
    </w:pPr>
    <w:rPr>
      <w:szCs w:val="20"/>
    </w:rPr>
  </w:style>
  <w:style w:type="paragraph" w:styleId="Signature">
    <w:name w:val="Signature"/>
    <w:basedOn w:val="Normal"/>
    <w:rsid w:val="00D342DC"/>
    <w:pPr>
      <w:spacing w:line="480" w:lineRule="auto"/>
      <w:ind w:left="4320" w:firstLine="360"/>
    </w:pPr>
    <w:rPr>
      <w:szCs w:val="20"/>
    </w:rPr>
  </w:style>
  <w:style w:type="paragraph" w:styleId="Subtitle">
    <w:name w:val="Subtitle"/>
    <w:basedOn w:val="Normal"/>
    <w:qFormat/>
    <w:rsid w:val="00D342DC"/>
    <w:pPr>
      <w:spacing w:after="60" w:line="480" w:lineRule="auto"/>
      <w:ind w:firstLine="360"/>
      <w:jc w:val="center"/>
      <w:outlineLvl w:val="1"/>
    </w:pPr>
    <w:rPr>
      <w:rFonts w:ascii="Arial" w:hAnsi="Arial"/>
      <w:szCs w:val="20"/>
    </w:rPr>
  </w:style>
  <w:style w:type="paragraph" w:styleId="TableofAuthorities">
    <w:name w:val="table of authorities"/>
    <w:basedOn w:val="Normal"/>
    <w:next w:val="Normal"/>
    <w:rsid w:val="00D342DC"/>
    <w:pPr>
      <w:spacing w:line="480" w:lineRule="auto"/>
      <w:ind w:left="240" w:hanging="240"/>
    </w:pPr>
    <w:rPr>
      <w:szCs w:val="20"/>
    </w:rPr>
  </w:style>
  <w:style w:type="paragraph" w:styleId="Title">
    <w:name w:val="Title"/>
    <w:basedOn w:val="Normal"/>
    <w:qFormat/>
    <w:rsid w:val="00D342DC"/>
    <w:pPr>
      <w:spacing w:before="240" w:after="60" w:line="480" w:lineRule="auto"/>
      <w:ind w:firstLine="360"/>
      <w:jc w:val="center"/>
      <w:outlineLvl w:val="0"/>
    </w:pPr>
    <w:rPr>
      <w:rFonts w:ascii="Arial" w:hAnsi="Arial"/>
      <w:b/>
      <w:kern w:val="28"/>
      <w:sz w:val="32"/>
      <w:szCs w:val="20"/>
    </w:rPr>
  </w:style>
  <w:style w:type="paragraph" w:styleId="TOAHeading">
    <w:name w:val="toa heading"/>
    <w:basedOn w:val="Normal"/>
    <w:next w:val="Normal"/>
    <w:rsid w:val="00D342DC"/>
    <w:pPr>
      <w:spacing w:before="120" w:line="480" w:lineRule="auto"/>
      <w:ind w:firstLine="360"/>
    </w:pPr>
    <w:rPr>
      <w:rFonts w:ascii="Arial" w:hAnsi="Arial"/>
      <w:b/>
      <w:szCs w:val="20"/>
    </w:rPr>
  </w:style>
  <w:style w:type="character" w:styleId="Hyperlink">
    <w:name w:val="Hyperlink"/>
    <w:rsid w:val="00D342DC"/>
    <w:rPr>
      <w:color w:val="0000FF"/>
      <w:u w:val="single"/>
    </w:rPr>
  </w:style>
  <w:style w:type="paragraph" w:customStyle="1" w:styleId="xl24">
    <w:name w:val="xl24"/>
    <w:basedOn w:val="Normal"/>
    <w:rsid w:val="00D342DC"/>
    <w:pPr>
      <w:spacing w:before="100" w:beforeAutospacing="1" w:after="100" w:afterAutospacing="1"/>
    </w:pPr>
    <w:rPr>
      <w:szCs w:val="20"/>
    </w:rPr>
  </w:style>
  <w:style w:type="paragraph" w:customStyle="1" w:styleId="xl25">
    <w:name w:val="xl25"/>
    <w:basedOn w:val="Normal"/>
    <w:rsid w:val="00D342DC"/>
    <w:pPr>
      <w:spacing w:before="100" w:beforeAutospacing="1" w:after="100" w:afterAutospacing="1"/>
      <w:jc w:val="center"/>
      <w:textAlignment w:val="center"/>
    </w:pPr>
    <w:rPr>
      <w:szCs w:val="20"/>
    </w:rPr>
  </w:style>
  <w:style w:type="paragraph" w:customStyle="1" w:styleId="xl26">
    <w:name w:val="xl26"/>
    <w:basedOn w:val="Normal"/>
    <w:rsid w:val="00D342DC"/>
    <w:pPr>
      <w:spacing w:before="100" w:beforeAutospacing="1" w:after="100" w:afterAutospacing="1"/>
      <w:textAlignment w:val="center"/>
    </w:pPr>
    <w:rPr>
      <w:szCs w:val="20"/>
    </w:rPr>
  </w:style>
  <w:style w:type="paragraph" w:customStyle="1" w:styleId="xl27">
    <w:name w:val="xl27"/>
    <w:basedOn w:val="Normal"/>
    <w:rsid w:val="00D342DC"/>
    <w:pPr>
      <w:spacing w:before="100" w:beforeAutospacing="1" w:after="100" w:afterAutospacing="1"/>
      <w:textAlignment w:val="center"/>
    </w:pPr>
    <w:rPr>
      <w:rFonts w:ascii="Times" w:hAnsi="Times"/>
      <w:sz w:val="20"/>
      <w:szCs w:val="20"/>
    </w:rPr>
  </w:style>
  <w:style w:type="paragraph" w:customStyle="1" w:styleId="xl28">
    <w:name w:val="xl28"/>
    <w:basedOn w:val="Normal"/>
    <w:rsid w:val="00D342DC"/>
    <w:pPr>
      <w:spacing w:before="100" w:beforeAutospacing="1" w:after="100" w:afterAutospacing="1"/>
      <w:textAlignment w:val="center"/>
    </w:pPr>
    <w:rPr>
      <w:b/>
      <w:szCs w:val="20"/>
    </w:rPr>
  </w:style>
  <w:style w:type="paragraph" w:customStyle="1" w:styleId="xl29">
    <w:name w:val="xl29"/>
    <w:basedOn w:val="Normal"/>
    <w:rsid w:val="00D342DC"/>
    <w:pPr>
      <w:spacing w:before="100" w:beforeAutospacing="1" w:after="100" w:afterAutospacing="1"/>
      <w:textAlignment w:val="center"/>
    </w:pPr>
    <w:rPr>
      <w:rFonts w:ascii="Times" w:hAnsi="Times"/>
      <w:b/>
      <w:sz w:val="20"/>
      <w:szCs w:val="20"/>
    </w:rPr>
  </w:style>
  <w:style w:type="table" w:customStyle="1" w:styleId="TableNormal1">
    <w:name w:val="Table Normal1"/>
    <w:next w:val="TableNormal"/>
    <w:semiHidden/>
    <w:rsid w:val="00D342DC"/>
    <w:tblPr>
      <w:tblInd w:w="0" w:type="dxa"/>
      <w:tblCellMar>
        <w:top w:w="0" w:type="dxa"/>
        <w:left w:w="108" w:type="dxa"/>
        <w:bottom w:w="0" w:type="dxa"/>
        <w:right w:w="108" w:type="dxa"/>
      </w:tblCellMar>
    </w:tblPr>
  </w:style>
  <w:style w:type="numbering" w:customStyle="1" w:styleId="NoList1">
    <w:name w:val="No List1"/>
    <w:next w:val="NoList"/>
    <w:semiHidden/>
    <w:rsid w:val="00D342DC"/>
  </w:style>
  <w:style w:type="paragraph" w:customStyle="1" w:styleId="xl30">
    <w:name w:val="xl30"/>
    <w:basedOn w:val="Normal"/>
    <w:rsid w:val="00D342DC"/>
    <w:pPr>
      <w:spacing w:before="100" w:beforeAutospacing="1" w:after="100" w:afterAutospacing="1"/>
      <w:jc w:val="right"/>
      <w:textAlignment w:val="center"/>
    </w:pPr>
    <w:rPr>
      <w:rFonts w:ascii="Times" w:hAnsi="Times"/>
      <w:b/>
      <w:sz w:val="20"/>
      <w:szCs w:val="20"/>
    </w:rPr>
  </w:style>
  <w:style w:type="paragraph" w:customStyle="1" w:styleId="xl31">
    <w:name w:val="xl31"/>
    <w:basedOn w:val="Normal"/>
    <w:rsid w:val="00D342DC"/>
    <w:pPr>
      <w:spacing w:before="100" w:beforeAutospacing="1" w:after="100" w:afterAutospacing="1"/>
      <w:jc w:val="center"/>
      <w:textAlignment w:val="center"/>
    </w:pPr>
    <w:rPr>
      <w:b/>
      <w:szCs w:val="20"/>
    </w:rPr>
  </w:style>
  <w:style w:type="paragraph" w:customStyle="1" w:styleId="xl32">
    <w:name w:val="xl32"/>
    <w:basedOn w:val="Normal"/>
    <w:rsid w:val="00D342DC"/>
    <w:pPr>
      <w:spacing w:before="100" w:beforeAutospacing="1" w:after="100" w:afterAutospacing="1"/>
      <w:jc w:val="right"/>
      <w:textAlignment w:val="center"/>
    </w:pPr>
    <w:rPr>
      <w:rFonts w:ascii="Times" w:hAnsi="Times"/>
      <w:sz w:val="20"/>
      <w:szCs w:val="20"/>
    </w:rPr>
  </w:style>
  <w:style w:type="paragraph" w:customStyle="1" w:styleId="xl33">
    <w:name w:val="xl33"/>
    <w:basedOn w:val="Normal"/>
    <w:rsid w:val="00D342DC"/>
    <w:pPr>
      <w:spacing w:before="100" w:beforeAutospacing="1" w:after="100" w:afterAutospacing="1"/>
      <w:textAlignment w:val="center"/>
    </w:pPr>
    <w:rPr>
      <w:rFonts w:ascii="Times" w:hAnsi="Times"/>
      <w:sz w:val="20"/>
      <w:szCs w:val="20"/>
    </w:rPr>
  </w:style>
  <w:style w:type="table" w:styleId="TableGrid">
    <w:name w:val="Table Grid"/>
    <w:basedOn w:val="TableNormal"/>
    <w:rsid w:val="00D342DC"/>
    <w:pPr>
      <w:spacing w:line="480" w:lineRule="auto"/>
      <w:ind w:firstLine="360"/>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
    <w:name w:val="Table Normal2"/>
    <w:next w:val="TableNormal"/>
    <w:semiHidden/>
    <w:rsid w:val="00D342DC"/>
    <w:tblPr>
      <w:tblInd w:w="0" w:type="dxa"/>
      <w:tblCellMar>
        <w:top w:w="0" w:type="dxa"/>
        <w:left w:w="108" w:type="dxa"/>
        <w:bottom w:w="0" w:type="dxa"/>
        <w:right w:w="108" w:type="dxa"/>
      </w:tblCellMar>
    </w:tblPr>
  </w:style>
  <w:style w:type="table" w:customStyle="1" w:styleId="TableNormal3">
    <w:name w:val="Table Normal3"/>
    <w:next w:val="TableNormal"/>
    <w:semiHidden/>
    <w:rsid w:val="00D342DC"/>
    <w:tblPr>
      <w:tblInd w:w="0" w:type="dxa"/>
      <w:tblCellMar>
        <w:top w:w="0" w:type="dxa"/>
        <w:left w:w="108" w:type="dxa"/>
        <w:bottom w:w="0" w:type="dxa"/>
        <w:right w:w="108" w:type="dxa"/>
      </w:tblCellMar>
    </w:tblPr>
  </w:style>
  <w:style w:type="table" w:customStyle="1" w:styleId="TableNormal4">
    <w:name w:val="Table Normal4"/>
    <w:next w:val="TableNormal"/>
    <w:semiHidden/>
    <w:rsid w:val="00D342DC"/>
    <w:tblPr>
      <w:tblInd w:w="0" w:type="dxa"/>
      <w:tblCellMar>
        <w:top w:w="0" w:type="dxa"/>
        <w:left w:w="108" w:type="dxa"/>
        <w:bottom w:w="0" w:type="dxa"/>
        <w:right w:w="108" w:type="dxa"/>
      </w:tblCellMar>
    </w:tblPr>
  </w:style>
  <w:style w:type="numbering" w:customStyle="1" w:styleId="NoList2">
    <w:name w:val="No List2"/>
    <w:next w:val="NoList"/>
    <w:semiHidden/>
    <w:rsid w:val="00D342DC"/>
  </w:style>
  <w:style w:type="character" w:styleId="FollowedHyperlink">
    <w:name w:val="FollowedHyperlink"/>
    <w:rsid w:val="00D342DC"/>
    <w:rPr>
      <w:color w:val="993366"/>
      <w:u w:val="single"/>
    </w:rPr>
  </w:style>
  <w:style w:type="paragraph" w:styleId="HTMLPreformatted">
    <w:name w:val="HTML Preformatted"/>
    <w:basedOn w:val="Normal"/>
    <w:rsid w:val="00D342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Typewriter">
    <w:name w:val="HTML Typewriter"/>
    <w:rsid w:val="00D342DC"/>
    <w:rPr>
      <w:rFonts w:ascii="Courier New" w:eastAsia="Times New Roman" w:hAnsi="Courier New" w:cs="Courier New" w:hint="default"/>
      <w:sz w:val="20"/>
      <w:szCs w:val="20"/>
    </w:rPr>
  </w:style>
  <w:style w:type="paragraph" w:customStyle="1" w:styleId="JobTitle">
    <w:name w:val="Job Title"/>
    <w:next w:val="Normal"/>
    <w:rsid w:val="00D342DC"/>
    <w:pPr>
      <w:spacing w:after="60" w:line="220" w:lineRule="atLeast"/>
    </w:pPr>
    <w:rPr>
      <w:rFonts w:ascii="Arial Black" w:hAnsi="Arial Black"/>
      <w:spacing w:val="-10"/>
    </w:rPr>
  </w:style>
  <w:style w:type="numbering" w:customStyle="1" w:styleId="CurrentList1">
    <w:name w:val="Current List1"/>
    <w:rsid w:val="00D342DC"/>
    <w:pPr>
      <w:numPr>
        <w:numId w:val="21"/>
      </w:numPr>
    </w:pPr>
  </w:style>
  <w:style w:type="character" w:styleId="Strong">
    <w:name w:val="Strong"/>
    <w:qFormat/>
    <w:rsid w:val="00D342DC"/>
    <w:rPr>
      <w:b/>
    </w:rPr>
  </w:style>
  <w:style w:type="table" w:customStyle="1" w:styleId="TableNormal5">
    <w:name w:val="Table Normal5"/>
    <w:next w:val="TableNormal"/>
    <w:semiHidden/>
    <w:rsid w:val="00D342DC"/>
    <w:tblPr>
      <w:tblInd w:w="0" w:type="dxa"/>
      <w:tblCellMar>
        <w:top w:w="0" w:type="dxa"/>
        <w:left w:w="108" w:type="dxa"/>
        <w:bottom w:w="0" w:type="dxa"/>
        <w:right w:w="108" w:type="dxa"/>
      </w:tblCellMar>
    </w:tblPr>
  </w:style>
  <w:style w:type="numbering" w:customStyle="1" w:styleId="NoList3">
    <w:name w:val="No List3"/>
    <w:next w:val="NoList"/>
    <w:semiHidden/>
    <w:rsid w:val="00D342DC"/>
  </w:style>
  <w:style w:type="paragraph" w:customStyle="1" w:styleId="MediumList2-Accent21">
    <w:name w:val="Medium List 2 - Accent 21"/>
    <w:hidden/>
    <w:uiPriority w:val="99"/>
    <w:semiHidden/>
    <w:rsid w:val="00FE63FA"/>
    <w:rPr>
      <w:sz w:val="24"/>
      <w:szCs w:val="24"/>
    </w:rPr>
  </w:style>
  <w:style w:type="paragraph" w:customStyle="1" w:styleId="ColorfulShading-Accent11">
    <w:name w:val="Colorful Shading - Accent 11"/>
    <w:hidden/>
    <w:rsid w:val="002451E0"/>
    <w:rPr>
      <w:sz w:val="24"/>
      <w:szCs w:val="24"/>
    </w:rPr>
  </w:style>
  <w:style w:type="character" w:customStyle="1" w:styleId="HeaderChar">
    <w:name w:val="Header Char"/>
    <w:basedOn w:val="DefaultParagraphFont"/>
    <w:link w:val="Header"/>
    <w:uiPriority w:val="99"/>
    <w:rsid w:val="009D59B1"/>
    <w:rPr>
      <w:sz w:val="24"/>
    </w:rPr>
  </w:style>
  <w:style w:type="character" w:customStyle="1" w:styleId="FooterChar">
    <w:name w:val="Footer Char"/>
    <w:basedOn w:val="DefaultParagraphFont"/>
    <w:link w:val="Footer"/>
    <w:uiPriority w:val="99"/>
    <w:rsid w:val="009D59B1"/>
    <w:rPr>
      <w:sz w:val="24"/>
    </w:rPr>
  </w:style>
</w:styles>
</file>

<file path=word/webSettings.xml><?xml version="1.0" encoding="utf-8"?>
<w:webSettings xmlns:r="http://schemas.openxmlformats.org/officeDocument/2006/relationships" xmlns:w="http://schemas.openxmlformats.org/wordprocessingml/2006/main">
  <w:allowPNG/>
  <w:doNotSaveAsSingleFile/>
  <w:pixelsPerInch w:val="72"/>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Office_Excel_97-2003_Worksheet1.xls"/><Relationship Id="rId13" Type="http://schemas.openxmlformats.org/officeDocument/2006/relationships/image" Target="media/image3.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13</Pages>
  <Words>7726</Words>
  <Characters>44232</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Running Head: VOCABULARY-ADDED INTERVENTION FOR ENGLISH LEARNERS</vt:lpstr>
    </vt:vector>
  </TitlesOfParts>
  <Company>sfsu</Company>
  <LinksUpToDate>false</LinksUpToDate>
  <CharactersWithSpaces>51855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Running Head: VOCABULARY-ADDED INTERVENTION FOR ENGLISH LEARNERS</dc:title>
  <dc:creator>college of education</dc:creator>
  <cp:lastModifiedBy>West Chester University</cp:lastModifiedBy>
  <cp:revision>9</cp:revision>
  <cp:lastPrinted>2011-02-15T02:49:00Z</cp:lastPrinted>
  <dcterms:created xsi:type="dcterms:W3CDTF">2012-09-25T16:29:00Z</dcterms:created>
  <dcterms:modified xsi:type="dcterms:W3CDTF">2012-10-19T15:01:00Z</dcterms:modified>
</cp:coreProperties>
</file>