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25" w:rsidRDefault="006D7B25" w:rsidP="006D7B25">
      <w:pPr>
        <w:jc w:val="both"/>
        <w:rPr>
          <w:b/>
          <w:sz w:val="20"/>
          <w:szCs w:val="20"/>
        </w:rPr>
      </w:pPr>
    </w:p>
    <w:p w:rsidR="006D7B25" w:rsidRDefault="006D7B25" w:rsidP="006D7B25">
      <w:pPr>
        <w:jc w:val="both"/>
        <w:rPr>
          <w:b/>
          <w:sz w:val="20"/>
          <w:szCs w:val="20"/>
        </w:rPr>
      </w:pPr>
    </w:p>
    <w:p w:rsidR="006D7B25" w:rsidRDefault="006D7B25" w:rsidP="006D7B25">
      <w:pPr>
        <w:jc w:val="both"/>
        <w:rPr>
          <w:b/>
          <w:sz w:val="20"/>
          <w:szCs w:val="20"/>
        </w:rPr>
      </w:pPr>
    </w:p>
    <w:p w:rsidR="006D7B25" w:rsidRDefault="006D7B25" w:rsidP="006D7B25">
      <w:pPr>
        <w:jc w:val="both"/>
        <w:rPr>
          <w:b/>
          <w:sz w:val="20"/>
          <w:szCs w:val="20"/>
        </w:rPr>
      </w:pPr>
    </w:p>
    <w:p w:rsidR="006D7B25" w:rsidRDefault="006D7B25" w:rsidP="006D7B25">
      <w:pPr>
        <w:jc w:val="both"/>
        <w:rPr>
          <w:b/>
          <w:sz w:val="20"/>
          <w:szCs w:val="20"/>
        </w:rPr>
      </w:pPr>
    </w:p>
    <w:p w:rsidR="006D7B25" w:rsidRDefault="006D7B25" w:rsidP="006D7B25">
      <w:pPr>
        <w:jc w:val="both"/>
        <w:rPr>
          <w:b/>
          <w:sz w:val="20"/>
          <w:szCs w:val="20"/>
        </w:rPr>
      </w:pPr>
    </w:p>
    <w:p w:rsidR="005E1BFF" w:rsidRDefault="005E1BFF" w:rsidP="00892E75">
      <w:pPr>
        <w:jc w:val="center"/>
        <w:rPr>
          <w:b/>
          <w:sz w:val="20"/>
          <w:szCs w:val="20"/>
        </w:rPr>
      </w:pPr>
    </w:p>
    <w:p w:rsidR="00BF49EE" w:rsidRPr="00892E75" w:rsidRDefault="006D7B25" w:rsidP="00892E75">
      <w:pPr>
        <w:jc w:val="center"/>
        <w:rPr>
          <w:b/>
          <w:sz w:val="20"/>
          <w:szCs w:val="20"/>
        </w:rPr>
      </w:pPr>
      <w:r w:rsidRPr="00892E75">
        <w:rPr>
          <w:b/>
          <w:sz w:val="20"/>
          <w:szCs w:val="20"/>
        </w:rPr>
        <w:t>EFFECTS OF MULTISENSORY PHO</w:t>
      </w:r>
      <w:r w:rsidR="00892E75" w:rsidRPr="00892E75">
        <w:rPr>
          <w:b/>
          <w:sz w:val="20"/>
          <w:szCs w:val="20"/>
        </w:rPr>
        <w:t xml:space="preserve">NICS-BASED TRAINING ON THE WORD </w:t>
      </w:r>
      <w:r w:rsidRPr="00892E75">
        <w:rPr>
          <w:b/>
          <w:sz w:val="20"/>
          <w:szCs w:val="20"/>
        </w:rPr>
        <w:t>RECOGNITION</w:t>
      </w:r>
      <w:r w:rsidR="005E6C3C" w:rsidRPr="00892E75">
        <w:rPr>
          <w:b/>
          <w:sz w:val="20"/>
          <w:szCs w:val="20"/>
        </w:rPr>
        <w:t xml:space="preserve"> </w:t>
      </w:r>
      <w:r w:rsidRPr="00892E75">
        <w:rPr>
          <w:b/>
          <w:sz w:val="20"/>
          <w:szCs w:val="20"/>
        </w:rPr>
        <w:t>AND SPELLING SKILLS OF ADOLESCENTS WITH READING DISABILITIES</w:t>
      </w:r>
    </w:p>
    <w:p w:rsidR="00BF49EE" w:rsidRPr="006D7B25" w:rsidRDefault="00BF49EE" w:rsidP="006D7B25">
      <w:pPr>
        <w:jc w:val="both"/>
        <w:rPr>
          <w:b/>
          <w:sz w:val="20"/>
          <w:szCs w:val="20"/>
        </w:rPr>
      </w:pPr>
    </w:p>
    <w:p w:rsidR="00BF49EE" w:rsidRDefault="00892E75" w:rsidP="00F542D9">
      <w:pPr>
        <w:jc w:val="center"/>
        <w:rPr>
          <w:b/>
          <w:sz w:val="20"/>
          <w:szCs w:val="20"/>
        </w:rPr>
      </w:pPr>
      <w:proofErr w:type="spellStart"/>
      <w:r>
        <w:rPr>
          <w:b/>
          <w:sz w:val="20"/>
          <w:szCs w:val="20"/>
        </w:rPr>
        <w:t>SallyAnn</w:t>
      </w:r>
      <w:proofErr w:type="spellEnd"/>
      <w:r>
        <w:rPr>
          <w:b/>
          <w:sz w:val="20"/>
          <w:szCs w:val="20"/>
        </w:rPr>
        <w:t xml:space="preserve"> </w:t>
      </w:r>
      <w:proofErr w:type="spellStart"/>
      <w:r>
        <w:rPr>
          <w:b/>
          <w:sz w:val="20"/>
          <w:szCs w:val="20"/>
        </w:rPr>
        <w:t>Giess</w:t>
      </w:r>
      <w:proofErr w:type="spellEnd"/>
    </w:p>
    <w:p w:rsidR="00BF49EE" w:rsidRPr="00640925" w:rsidRDefault="00BF49EE" w:rsidP="00F542D9">
      <w:pPr>
        <w:jc w:val="center"/>
        <w:rPr>
          <w:i/>
          <w:sz w:val="20"/>
          <w:szCs w:val="20"/>
        </w:rPr>
      </w:pPr>
      <w:r w:rsidRPr="00640925">
        <w:rPr>
          <w:i/>
          <w:sz w:val="20"/>
          <w:szCs w:val="20"/>
        </w:rPr>
        <w:t>Chapman University</w:t>
      </w:r>
    </w:p>
    <w:p w:rsidR="00BF49EE" w:rsidRPr="006D7B25" w:rsidRDefault="00BF49EE" w:rsidP="00F542D9">
      <w:pPr>
        <w:jc w:val="center"/>
        <w:rPr>
          <w:b/>
          <w:sz w:val="20"/>
          <w:szCs w:val="20"/>
        </w:rPr>
      </w:pPr>
    </w:p>
    <w:p w:rsidR="00BF49EE" w:rsidRPr="00640925" w:rsidRDefault="00892E75" w:rsidP="00640925">
      <w:pPr>
        <w:jc w:val="center"/>
        <w:rPr>
          <w:b/>
          <w:sz w:val="20"/>
          <w:szCs w:val="20"/>
        </w:rPr>
      </w:pPr>
      <w:r>
        <w:rPr>
          <w:b/>
          <w:sz w:val="20"/>
          <w:szCs w:val="20"/>
        </w:rPr>
        <w:t>Kenyatta O. Rivers</w:t>
      </w:r>
    </w:p>
    <w:p w:rsidR="00BF49EE" w:rsidRDefault="00BF49EE" w:rsidP="00F542D9">
      <w:pPr>
        <w:jc w:val="center"/>
        <w:rPr>
          <w:i/>
          <w:sz w:val="20"/>
          <w:szCs w:val="20"/>
        </w:rPr>
      </w:pPr>
      <w:r w:rsidRPr="00640925">
        <w:rPr>
          <w:i/>
          <w:sz w:val="20"/>
          <w:szCs w:val="20"/>
        </w:rPr>
        <w:t>University of Central Florida</w:t>
      </w:r>
    </w:p>
    <w:p w:rsidR="003D5038" w:rsidRDefault="003D5038" w:rsidP="003D5038">
      <w:pPr>
        <w:jc w:val="center"/>
        <w:rPr>
          <w:b/>
          <w:sz w:val="20"/>
          <w:szCs w:val="20"/>
        </w:rPr>
      </w:pPr>
    </w:p>
    <w:p w:rsidR="003D5038" w:rsidRPr="006D7B25" w:rsidRDefault="003D5038" w:rsidP="003D5038">
      <w:pPr>
        <w:jc w:val="center"/>
        <w:rPr>
          <w:b/>
          <w:sz w:val="20"/>
          <w:szCs w:val="20"/>
        </w:rPr>
      </w:pPr>
      <w:r w:rsidRPr="006D7B25">
        <w:rPr>
          <w:b/>
          <w:sz w:val="20"/>
          <w:szCs w:val="20"/>
        </w:rPr>
        <w:t>Kelly</w:t>
      </w:r>
      <w:r w:rsidRPr="006D7B25">
        <w:rPr>
          <w:b/>
          <w:color w:val="FF0000"/>
          <w:sz w:val="20"/>
          <w:szCs w:val="20"/>
        </w:rPr>
        <w:t xml:space="preserve"> </w:t>
      </w:r>
      <w:r w:rsidRPr="006D7B25">
        <w:rPr>
          <w:b/>
          <w:color w:val="000000"/>
          <w:sz w:val="20"/>
          <w:szCs w:val="20"/>
        </w:rPr>
        <w:t>Kennedy</w:t>
      </w:r>
    </w:p>
    <w:p w:rsidR="003D5038" w:rsidRPr="00640925" w:rsidRDefault="003D5038" w:rsidP="003D5038">
      <w:pPr>
        <w:jc w:val="center"/>
        <w:rPr>
          <w:i/>
          <w:sz w:val="20"/>
          <w:szCs w:val="20"/>
        </w:rPr>
      </w:pPr>
      <w:r w:rsidRPr="00640925">
        <w:rPr>
          <w:i/>
          <w:sz w:val="20"/>
          <w:szCs w:val="20"/>
        </w:rPr>
        <w:t>Chapman University</w:t>
      </w:r>
    </w:p>
    <w:p w:rsidR="003D5038" w:rsidRDefault="003D5038" w:rsidP="00F542D9">
      <w:pPr>
        <w:jc w:val="center"/>
        <w:rPr>
          <w:i/>
          <w:sz w:val="20"/>
          <w:szCs w:val="20"/>
        </w:rPr>
      </w:pPr>
    </w:p>
    <w:p w:rsidR="00BF49EE" w:rsidRPr="006D7B25" w:rsidRDefault="00892E75" w:rsidP="00F542D9">
      <w:pPr>
        <w:jc w:val="center"/>
        <w:rPr>
          <w:b/>
          <w:sz w:val="20"/>
          <w:szCs w:val="20"/>
        </w:rPr>
      </w:pPr>
      <w:r>
        <w:rPr>
          <w:b/>
          <w:sz w:val="20"/>
          <w:szCs w:val="20"/>
        </w:rPr>
        <w:t>Linda J. Lombardino</w:t>
      </w:r>
    </w:p>
    <w:p w:rsidR="00BF49EE" w:rsidRPr="00640925" w:rsidRDefault="00BF49EE" w:rsidP="00F542D9">
      <w:pPr>
        <w:jc w:val="center"/>
        <w:rPr>
          <w:i/>
          <w:sz w:val="20"/>
          <w:szCs w:val="20"/>
        </w:rPr>
      </w:pPr>
      <w:r w:rsidRPr="00640925">
        <w:rPr>
          <w:i/>
          <w:sz w:val="20"/>
          <w:szCs w:val="20"/>
        </w:rPr>
        <w:t>University of Florida</w:t>
      </w:r>
    </w:p>
    <w:p w:rsidR="00F542D9" w:rsidRDefault="00F542D9" w:rsidP="00892E75">
      <w:pPr>
        <w:rPr>
          <w:sz w:val="20"/>
          <w:szCs w:val="20"/>
        </w:rPr>
      </w:pPr>
    </w:p>
    <w:p w:rsidR="005E6C3C" w:rsidRDefault="005E6C3C" w:rsidP="00F542D9">
      <w:pPr>
        <w:pStyle w:val="08BodyText"/>
        <w:spacing w:line="240" w:lineRule="auto"/>
        <w:ind w:left="720" w:right="720" w:firstLine="0"/>
        <w:jc w:val="both"/>
        <w:rPr>
          <w:i/>
          <w:sz w:val="20"/>
        </w:rPr>
      </w:pPr>
    </w:p>
    <w:p w:rsidR="007A2CA0" w:rsidRDefault="00940FBB" w:rsidP="00F542D9">
      <w:pPr>
        <w:pStyle w:val="08BodyText"/>
        <w:spacing w:line="240" w:lineRule="auto"/>
        <w:ind w:left="720" w:right="720" w:firstLine="0"/>
        <w:jc w:val="both"/>
        <w:rPr>
          <w:i/>
          <w:sz w:val="20"/>
        </w:rPr>
      </w:pPr>
      <w:r w:rsidRPr="00F542D9">
        <w:rPr>
          <w:i/>
          <w:sz w:val="20"/>
        </w:rPr>
        <w:t>The purpose of this study was to explore the effectiveness of an Orton-Gillingham</w:t>
      </w:r>
      <w:r w:rsidR="00B0575A" w:rsidRPr="00F542D9">
        <w:rPr>
          <w:i/>
          <w:sz w:val="20"/>
        </w:rPr>
        <w:t xml:space="preserve">-based </w:t>
      </w:r>
      <w:r w:rsidR="008F2D16" w:rsidRPr="00F542D9">
        <w:rPr>
          <w:i/>
          <w:sz w:val="20"/>
        </w:rPr>
        <w:t xml:space="preserve">reading instruction </w:t>
      </w:r>
      <w:r w:rsidRPr="00F542D9">
        <w:rPr>
          <w:i/>
          <w:sz w:val="20"/>
        </w:rPr>
        <w:t>system</w:t>
      </w:r>
      <w:r w:rsidR="004372F7" w:rsidRPr="00F542D9">
        <w:rPr>
          <w:i/>
          <w:sz w:val="20"/>
        </w:rPr>
        <w:t xml:space="preserve">, the </w:t>
      </w:r>
      <w:r w:rsidR="00AE53C7" w:rsidRPr="00F542D9">
        <w:rPr>
          <w:i/>
          <w:sz w:val="20"/>
        </w:rPr>
        <w:t>Barton Reading and Spelling System (BRSS; Barton 2000),</w:t>
      </w:r>
      <w:r w:rsidRPr="00F542D9">
        <w:rPr>
          <w:i/>
          <w:sz w:val="20"/>
        </w:rPr>
        <w:t xml:space="preserve"> that was used as a supplemental reading instruction program for increasing the lower-level reading skills of a group of adolescents with persistent reading problems.  Nine students participated in the supplemental reading program based on pre-test scores of a spoken and written language assessment battery.  Progress was measured at the end of intervention by post-testing students on the same assessment battery.  Each </w:t>
      </w:r>
      <w:r w:rsidR="008F2D16" w:rsidRPr="00F542D9">
        <w:rPr>
          <w:i/>
          <w:sz w:val="20"/>
        </w:rPr>
        <w:t xml:space="preserve">student </w:t>
      </w:r>
      <w:r w:rsidRPr="00F542D9">
        <w:rPr>
          <w:i/>
          <w:sz w:val="20"/>
        </w:rPr>
        <w:t>showed some improvements from their pretest to posttest scores on all of the measures utilized, with some having moderate to large effect sizes</w:t>
      </w:r>
      <w:r w:rsidR="004372F7" w:rsidRPr="00F542D9">
        <w:rPr>
          <w:i/>
          <w:sz w:val="20"/>
        </w:rPr>
        <w:t>, support</w:t>
      </w:r>
      <w:r w:rsidR="00B0575A" w:rsidRPr="00F542D9">
        <w:rPr>
          <w:i/>
          <w:sz w:val="20"/>
        </w:rPr>
        <w:t xml:space="preserve">ing </w:t>
      </w:r>
      <w:r w:rsidR="00AE53C7" w:rsidRPr="00F542D9">
        <w:rPr>
          <w:i/>
          <w:sz w:val="20"/>
        </w:rPr>
        <w:t xml:space="preserve">the view that the BRSS is an appropriate </w:t>
      </w:r>
      <w:r w:rsidR="008F2D16" w:rsidRPr="00F542D9">
        <w:rPr>
          <w:i/>
          <w:sz w:val="20"/>
        </w:rPr>
        <w:t xml:space="preserve">supplemental reading program for </w:t>
      </w:r>
      <w:r w:rsidR="00AE53C7" w:rsidRPr="00F542D9">
        <w:rPr>
          <w:i/>
          <w:color w:val="000000"/>
          <w:sz w:val="20"/>
        </w:rPr>
        <w:t xml:space="preserve">struggling adolescent readers </w:t>
      </w:r>
      <w:r w:rsidR="004372F7" w:rsidRPr="00F542D9">
        <w:rPr>
          <w:i/>
          <w:color w:val="000000"/>
          <w:sz w:val="20"/>
        </w:rPr>
        <w:t>within a response to instruction framework</w:t>
      </w:r>
      <w:r w:rsidRPr="00F542D9">
        <w:rPr>
          <w:i/>
          <w:sz w:val="20"/>
        </w:rPr>
        <w:t>.</w:t>
      </w:r>
      <w:r w:rsidR="007A2CA0" w:rsidRPr="00F542D9">
        <w:rPr>
          <w:i/>
          <w:sz w:val="20"/>
        </w:rPr>
        <w:t xml:space="preserve">  </w:t>
      </w:r>
      <w:r w:rsidR="008A3B9F" w:rsidRPr="00F542D9">
        <w:rPr>
          <w:i/>
          <w:sz w:val="20"/>
        </w:rPr>
        <w:t>Future research should include a larger sample size and a control group.</w:t>
      </w:r>
    </w:p>
    <w:p w:rsidR="00F542D9" w:rsidRDefault="00F542D9" w:rsidP="00F542D9">
      <w:pPr>
        <w:pStyle w:val="08BodyText"/>
        <w:spacing w:line="240" w:lineRule="auto"/>
        <w:ind w:left="720" w:right="720" w:firstLine="0"/>
        <w:jc w:val="both"/>
        <w:rPr>
          <w:i/>
          <w:sz w:val="20"/>
        </w:rPr>
      </w:pPr>
    </w:p>
    <w:p w:rsidR="005E6C3C" w:rsidRDefault="005E6C3C" w:rsidP="00F542D9">
      <w:pPr>
        <w:autoSpaceDE w:val="0"/>
        <w:autoSpaceDN w:val="0"/>
        <w:adjustRightInd w:val="0"/>
        <w:jc w:val="both"/>
        <w:rPr>
          <w:color w:val="000000"/>
          <w:sz w:val="20"/>
          <w:szCs w:val="20"/>
        </w:rPr>
      </w:pPr>
    </w:p>
    <w:p w:rsidR="003560D3" w:rsidRPr="006D7B25" w:rsidRDefault="003560D3" w:rsidP="00F542D9">
      <w:pPr>
        <w:autoSpaceDE w:val="0"/>
        <w:autoSpaceDN w:val="0"/>
        <w:adjustRightInd w:val="0"/>
        <w:jc w:val="both"/>
        <w:rPr>
          <w:sz w:val="20"/>
          <w:szCs w:val="20"/>
        </w:rPr>
      </w:pPr>
      <w:r w:rsidRPr="006D7B25">
        <w:rPr>
          <w:color w:val="000000"/>
          <w:sz w:val="20"/>
          <w:szCs w:val="20"/>
        </w:rPr>
        <w:t xml:space="preserve">It has been widely documented that most children effortlessly acquire basic reading and writing skills in the elementary grades that serve as the foundation for literacy accomplishments in middle school and beyond </w:t>
      </w:r>
      <w:r w:rsidRPr="006D7B25">
        <w:rPr>
          <w:sz w:val="20"/>
          <w:szCs w:val="20"/>
        </w:rPr>
        <w:t>(Adams, 1990; Bryant, Vaughn, Linan-Thompson, Ugel, Hamff, &amp; Hougen, 2000; Chall, 1996; Moats, 2000; Shankweiler, 1999; Snow, Burns, &amp; Griffin, 1998; Snowling &amp; Bishop, 2000).  These skills include the ability to identify letter-sound correspondences, to consciously manipulate sounds in different ways (e.g., segment, blend, and delete sounds), to rapidly decode and identify words, to recognize words’ meanings in written texts, and to construct meaning from sentences, paragraphs, and longer texts (National Reading Panel, 2000).  Despite the ease with which most children acquire these skills in the lower grades, some children struggle with reading acquisition and/or mastery (Archer, Gleason, &amp; Vachon, 2003; Bryant et. al, 2000; Hiebert &amp; Taylor, 2000; Shankweiler, Lundquist,  Dreyer, &amp; Dickinson, 1996; Torgesen, Wagner, &amp; R</w:t>
      </w:r>
      <w:r w:rsidR="0015735A" w:rsidRPr="006D7B25">
        <w:rPr>
          <w:sz w:val="20"/>
          <w:szCs w:val="20"/>
        </w:rPr>
        <w:t>a</w:t>
      </w:r>
      <w:r w:rsidRPr="006D7B25">
        <w:rPr>
          <w:sz w:val="20"/>
          <w:szCs w:val="20"/>
        </w:rPr>
        <w:t>sh</w:t>
      </w:r>
      <w:r w:rsidR="0015735A" w:rsidRPr="006D7B25">
        <w:rPr>
          <w:sz w:val="20"/>
          <w:szCs w:val="20"/>
        </w:rPr>
        <w:t>o</w:t>
      </w:r>
      <w:r w:rsidRPr="006D7B25">
        <w:rPr>
          <w:sz w:val="20"/>
          <w:szCs w:val="20"/>
        </w:rPr>
        <w:t>tte, 199</w:t>
      </w:r>
      <w:r w:rsidR="00D666C4" w:rsidRPr="006D7B25">
        <w:rPr>
          <w:sz w:val="20"/>
          <w:szCs w:val="20"/>
        </w:rPr>
        <w:t>9</w:t>
      </w:r>
      <w:r w:rsidRPr="006D7B25">
        <w:rPr>
          <w:sz w:val="20"/>
          <w:szCs w:val="20"/>
        </w:rPr>
        <w:t>), placing them at great risk for educational failure in high school (American Federation of Teachers, 2003; Barber &amp; McClellan, 1987; Hock &amp; Deshler, 2003; Kastle, Campbell, Finn, Johnson, &amp; Mikulecky, 2001; Kibby, 1995; Moore, Bean, Birdyshaw, &amp; Rycik</w:t>
      </w:r>
      <w:r w:rsidR="00C1003C" w:rsidRPr="006D7B25">
        <w:rPr>
          <w:sz w:val="20"/>
          <w:szCs w:val="20"/>
        </w:rPr>
        <w:t>, 1999</w:t>
      </w:r>
      <w:r w:rsidRPr="006D7B25">
        <w:rPr>
          <w:sz w:val="20"/>
          <w:szCs w:val="20"/>
        </w:rPr>
        <w:t xml:space="preserve">; Snow &amp; </w:t>
      </w:r>
      <w:r w:rsidRPr="006D7B25">
        <w:rPr>
          <w:bCs/>
          <w:sz w:val="20"/>
          <w:szCs w:val="20"/>
        </w:rPr>
        <w:t>Biancarosa, 2003</w:t>
      </w:r>
      <w:r w:rsidRPr="006D7B25">
        <w:rPr>
          <w:sz w:val="20"/>
          <w:szCs w:val="20"/>
        </w:rPr>
        <w:t xml:space="preserve">).  </w:t>
      </w:r>
      <w:r w:rsidR="00ED7901" w:rsidRPr="006D7B25">
        <w:rPr>
          <w:color w:val="000000"/>
          <w:sz w:val="20"/>
          <w:szCs w:val="20"/>
        </w:rPr>
        <w:t>In fact, according to the National Institutes of Health (2010), reading is the primary difficulty for most children with learning disabilities receiving special education services.</w:t>
      </w:r>
    </w:p>
    <w:p w:rsidR="00F542D9" w:rsidRDefault="00F542D9" w:rsidP="00F542D9">
      <w:pPr>
        <w:autoSpaceDE w:val="0"/>
        <w:autoSpaceDN w:val="0"/>
        <w:adjustRightInd w:val="0"/>
        <w:jc w:val="both"/>
        <w:rPr>
          <w:sz w:val="20"/>
          <w:szCs w:val="20"/>
        </w:rPr>
      </w:pPr>
    </w:p>
    <w:p w:rsidR="003560D3" w:rsidRPr="006D7B25" w:rsidRDefault="003560D3" w:rsidP="00F542D9">
      <w:pPr>
        <w:autoSpaceDE w:val="0"/>
        <w:autoSpaceDN w:val="0"/>
        <w:adjustRightInd w:val="0"/>
        <w:jc w:val="both"/>
        <w:rPr>
          <w:sz w:val="20"/>
          <w:szCs w:val="20"/>
        </w:rPr>
      </w:pPr>
      <w:r w:rsidRPr="006D7B25">
        <w:rPr>
          <w:sz w:val="20"/>
          <w:szCs w:val="20"/>
        </w:rPr>
        <w:t>The demands placed on adolescents to read and write fluently at advanced levels increases with curricular demands in the upper grades (Ehren, 2009; Lenz, Ehren, &amp; Deshler, 2005</w:t>
      </w:r>
      <w:r w:rsidR="00C14211" w:rsidRPr="006D7B25">
        <w:rPr>
          <w:sz w:val="20"/>
          <w:szCs w:val="20"/>
        </w:rPr>
        <w:t>;</w:t>
      </w:r>
      <w:r w:rsidRPr="006D7B25">
        <w:rPr>
          <w:sz w:val="20"/>
          <w:szCs w:val="20"/>
        </w:rPr>
        <w:t xml:space="preserve"> Roberts, Torgesen, Boardman, &amp; Scammacca, 2008).  Snow and Biancarosa (2003) noted that </w:t>
      </w:r>
      <w:r w:rsidRPr="003B1518">
        <w:rPr>
          <w:i/>
          <w:sz w:val="20"/>
          <w:szCs w:val="20"/>
        </w:rPr>
        <w:t>Students are expected to read and write across a wide variety of disciplines, genres, and materials with increasing skill, flexibility, and insight</w:t>
      </w:r>
      <w:r w:rsidRPr="006D7B25">
        <w:rPr>
          <w:sz w:val="20"/>
          <w:szCs w:val="20"/>
        </w:rPr>
        <w:t xml:space="preserve"> (</w:t>
      </w:r>
      <w:r w:rsidRPr="006D7B25">
        <w:rPr>
          <w:bCs/>
          <w:sz w:val="20"/>
          <w:szCs w:val="20"/>
        </w:rPr>
        <w:t xml:space="preserve">p. 5).  In other words, students are </w:t>
      </w:r>
      <w:r w:rsidRPr="006D7B25">
        <w:rPr>
          <w:sz w:val="20"/>
          <w:szCs w:val="20"/>
        </w:rPr>
        <w:t xml:space="preserve">required to recognize words fluently, expand their vocabulary </w:t>
      </w:r>
      <w:r w:rsidRPr="006D7B25">
        <w:rPr>
          <w:sz w:val="20"/>
          <w:szCs w:val="20"/>
        </w:rPr>
        <w:lastRenderedPageBreak/>
        <w:t>and knowledge, think critically and broadly, and comprehend content that is abstract and removed from previous literacy experiences (Bryant, 2003; Chall &amp; Jacobs, 2003; Smith &amp; Feathers, 1983).  Consequently, adolescents who are unable to successfully perform these operations are more likely to have difficulty processing information in texts (Archer et al., 2003; Grigg, Daane, Ying, &amp; Campbell, 2003; Larson &amp; McKinley, 1995) and producing a variety of written genres (Larson &amp; McKinley, 1995; Persky, Danne, &amp; Jin, 2003).  They are also more likely to exhibit higher rates of negative attitudes towards reading in later school years (Lyon, 1997; Stanovich, 1986), low self-esteem (Wagner, Blackorby, &amp; Hebbeler, 1993), school discipline problems (Aaron &amp; Baker, 1991), school dropout (Snow, Burns, &amp; Griffin, 1998; Wagner, 2000), and future unemployment (Lyons, 1997).</w:t>
      </w:r>
    </w:p>
    <w:p w:rsidR="00F542D9" w:rsidRDefault="00F542D9" w:rsidP="00F542D9">
      <w:pPr>
        <w:jc w:val="both"/>
        <w:rPr>
          <w:sz w:val="20"/>
          <w:szCs w:val="20"/>
        </w:rPr>
      </w:pPr>
    </w:p>
    <w:p w:rsidR="00983DAE" w:rsidRPr="006D7B25" w:rsidRDefault="00570B16" w:rsidP="00F542D9">
      <w:pPr>
        <w:jc w:val="both"/>
        <w:rPr>
          <w:sz w:val="20"/>
          <w:szCs w:val="20"/>
        </w:rPr>
      </w:pPr>
      <w:r w:rsidRPr="006D7B25">
        <w:rPr>
          <w:sz w:val="20"/>
          <w:szCs w:val="20"/>
        </w:rPr>
        <w:t>Intervention studies have shown that adolescents who struggle with basic reading skills, including word analysis and identification, fluency, vocabulary development, metacognitive strategies for comprehending text and remembering content, and writing, can improve when they are provided effective, explicit instruction (</w:t>
      </w:r>
      <w:r w:rsidR="00D15669" w:rsidRPr="006D7B25">
        <w:rPr>
          <w:sz w:val="20"/>
          <w:szCs w:val="20"/>
        </w:rPr>
        <w:t xml:space="preserve">Apel &amp; Swank, 1999; </w:t>
      </w:r>
      <w:r w:rsidRPr="006D7B25">
        <w:rPr>
          <w:sz w:val="20"/>
          <w:szCs w:val="20"/>
        </w:rPr>
        <w:t xml:space="preserve">Bryant et al., 2000; Bos &amp; Anders, 1990; Daly &amp; Martens, 1994; Mastropieri, Leinart, &amp; Scruggs, 1999; Mercer, Campbell, Miller, Mercer, &amp; Lane, 2000; Lenz &amp; Hughes, 1990; Stahl &amp; Fairbanks, 1986; Swanson, Hoskyn, &amp; Lee, 1999; Talbott, Lloyd, &amp; Tankersley, 1994; Vaughn, Gersten, &amp; Chard, 2000).  </w:t>
      </w:r>
      <w:r w:rsidR="003C3F0E" w:rsidRPr="006D7B25">
        <w:rPr>
          <w:sz w:val="20"/>
          <w:szCs w:val="20"/>
        </w:rPr>
        <w:t>Orton</w:t>
      </w:r>
      <w:r w:rsidR="007B5A89" w:rsidRPr="006D7B25">
        <w:rPr>
          <w:sz w:val="20"/>
          <w:szCs w:val="20"/>
        </w:rPr>
        <w:t xml:space="preserve"> </w:t>
      </w:r>
      <w:r w:rsidR="003C3F0E" w:rsidRPr="006D7B25">
        <w:rPr>
          <w:sz w:val="20"/>
          <w:szCs w:val="20"/>
        </w:rPr>
        <w:t xml:space="preserve">Gillingham </w:t>
      </w:r>
      <w:r w:rsidR="00DA27AB" w:rsidRPr="006D7B25">
        <w:rPr>
          <w:sz w:val="20"/>
          <w:szCs w:val="20"/>
        </w:rPr>
        <w:t xml:space="preserve">(OG) </w:t>
      </w:r>
      <w:r w:rsidR="003C3F0E" w:rsidRPr="006D7B25">
        <w:rPr>
          <w:sz w:val="20"/>
          <w:szCs w:val="20"/>
        </w:rPr>
        <w:t>and Orton</w:t>
      </w:r>
      <w:r w:rsidR="007B5A89" w:rsidRPr="006D7B25">
        <w:rPr>
          <w:sz w:val="20"/>
          <w:szCs w:val="20"/>
        </w:rPr>
        <w:t xml:space="preserve"> </w:t>
      </w:r>
      <w:r w:rsidR="003C3F0E" w:rsidRPr="006D7B25">
        <w:rPr>
          <w:sz w:val="20"/>
          <w:szCs w:val="20"/>
        </w:rPr>
        <w:t>Gillingham-based reading instruction programs</w:t>
      </w:r>
      <w:r w:rsidR="005974DB" w:rsidRPr="006D7B25">
        <w:rPr>
          <w:sz w:val="20"/>
          <w:szCs w:val="20"/>
        </w:rPr>
        <w:t xml:space="preserve">, including </w:t>
      </w:r>
      <w:r w:rsidR="005974DB" w:rsidRPr="006D7B25">
        <w:rPr>
          <w:i/>
          <w:sz w:val="20"/>
          <w:szCs w:val="20"/>
        </w:rPr>
        <w:t>The Wilson Reading System</w:t>
      </w:r>
      <w:r w:rsidR="005974DB" w:rsidRPr="006D7B25">
        <w:rPr>
          <w:sz w:val="20"/>
          <w:szCs w:val="20"/>
        </w:rPr>
        <w:t xml:space="preserve"> </w:t>
      </w:r>
      <w:r w:rsidR="005974DB" w:rsidRPr="006D7B25">
        <w:rPr>
          <w:rFonts w:eastAsia="Times New Roman"/>
          <w:sz w:val="20"/>
          <w:szCs w:val="20"/>
        </w:rPr>
        <w:t>(Wilson, 1996)</w:t>
      </w:r>
      <w:r w:rsidR="005974DB" w:rsidRPr="006D7B25">
        <w:rPr>
          <w:sz w:val="20"/>
          <w:szCs w:val="20"/>
        </w:rPr>
        <w:t xml:space="preserve">, </w:t>
      </w:r>
      <w:r w:rsidR="005974DB" w:rsidRPr="006D7B25">
        <w:rPr>
          <w:i/>
          <w:sz w:val="20"/>
          <w:szCs w:val="20"/>
        </w:rPr>
        <w:t>The Slingerland Approach</w:t>
      </w:r>
      <w:r w:rsidR="005974DB" w:rsidRPr="006D7B25">
        <w:rPr>
          <w:sz w:val="20"/>
          <w:szCs w:val="20"/>
        </w:rPr>
        <w:t xml:space="preserve"> (</w:t>
      </w:r>
      <w:r w:rsidR="005974DB" w:rsidRPr="006D7B25">
        <w:rPr>
          <w:rFonts w:eastAsia="Times New Roman"/>
          <w:sz w:val="20"/>
          <w:szCs w:val="20"/>
        </w:rPr>
        <w:t>Slingerland &amp; Aho, 1994–1996),</w:t>
      </w:r>
      <w:r w:rsidR="005974DB" w:rsidRPr="006D7B25">
        <w:rPr>
          <w:sz w:val="20"/>
          <w:szCs w:val="20"/>
        </w:rPr>
        <w:t xml:space="preserve"> and the </w:t>
      </w:r>
      <w:r w:rsidR="005974DB" w:rsidRPr="006D7B25">
        <w:rPr>
          <w:i/>
          <w:sz w:val="20"/>
          <w:szCs w:val="20"/>
        </w:rPr>
        <w:t>Barton Reading and Spelling System</w:t>
      </w:r>
      <w:r w:rsidR="005974DB" w:rsidRPr="006D7B25">
        <w:rPr>
          <w:sz w:val="20"/>
          <w:szCs w:val="20"/>
        </w:rPr>
        <w:t xml:space="preserve"> (BRSS; Barton, 2000),</w:t>
      </w:r>
      <w:r w:rsidR="000B4A61" w:rsidRPr="006D7B25">
        <w:rPr>
          <w:sz w:val="20"/>
          <w:szCs w:val="20"/>
        </w:rPr>
        <w:t xml:space="preserve"> </w:t>
      </w:r>
      <w:r w:rsidR="007F40D4" w:rsidRPr="006D7B25">
        <w:rPr>
          <w:sz w:val="20"/>
          <w:szCs w:val="20"/>
        </w:rPr>
        <w:t>have</w:t>
      </w:r>
      <w:r w:rsidR="00613D54" w:rsidRPr="006D7B25">
        <w:rPr>
          <w:sz w:val="20"/>
          <w:szCs w:val="20"/>
        </w:rPr>
        <w:t xml:space="preserve"> been</w:t>
      </w:r>
      <w:r w:rsidR="003C3F0E" w:rsidRPr="006D7B25">
        <w:rPr>
          <w:sz w:val="20"/>
          <w:szCs w:val="20"/>
        </w:rPr>
        <w:t xml:space="preserve"> used to address the needs of</w:t>
      </w:r>
      <w:r w:rsidR="0086007F" w:rsidRPr="006D7B25">
        <w:rPr>
          <w:sz w:val="20"/>
          <w:szCs w:val="20"/>
        </w:rPr>
        <w:t xml:space="preserve"> both young</w:t>
      </w:r>
      <w:r w:rsidR="003C3F0E" w:rsidRPr="006D7B25">
        <w:rPr>
          <w:sz w:val="20"/>
          <w:szCs w:val="20"/>
        </w:rPr>
        <w:t xml:space="preserve"> struggling readers </w:t>
      </w:r>
      <w:r w:rsidR="0086007F" w:rsidRPr="006D7B25">
        <w:rPr>
          <w:sz w:val="20"/>
          <w:szCs w:val="20"/>
        </w:rPr>
        <w:t xml:space="preserve">and college students who struggle with reading </w:t>
      </w:r>
      <w:r w:rsidR="003C3F0E" w:rsidRPr="006D7B25">
        <w:rPr>
          <w:sz w:val="20"/>
          <w:szCs w:val="20"/>
        </w:rPr>
        <w:t>(Guyer &amp; Sabatino, 1989; Ritchey &amp; Goeke, 2006</w:t>
      </w:r>
      <w:r w:rsidR="005974DB" w:rsidRPr="006D7B25">
        <w:rPr>
          <w:sz w:val="20"/>
          <w:szCs w:val="20"/>
        </w:rPr>
        <w:t>)</w:t>
      </w:r>
      <w:r w:rsidR="000B4A61" w:rsidRPr="006D7B25">
        <w:rPr>
          <w:sz w:val="20"/>
          <w:szCs w:val="20"/>
        </w:rPr>
        <w:t>.</w:t>
      </w:r>
      <w:r w:rsidR="000B4A61" w:rsidRPr="006D7B25">
        <w:rPr>
          <w:sz w:val="20"/>
          <w:szCs w:val="20"/>
          <w:highlight w:val="yellow"/>
        </w:rPr>
        <w:t xml:space="preserve">  </w:t>
      </w:r>
    </w:p>
    <w:p w:rsidR="00F542D9" w:rsidRDefault="00F542D9" w:rsidP="00F542D9">
      <w:pPr>
        <w:jc w:val="both"/>
        <w:rPr>
          <w:sz w:val="20"/>
          <w:szCs w:val="20"/>
        </w:rPr>
      </w:pPr>
    </w:p>
    <w:p w:rsidR="00903419" w:rsidRPr="006D7B25" w:rsidRDefault="00DA27AB" w:rsidP="00F542D9">
      <w:pPr>
        <w:jc w:val="both"/>
        <w:rPr>
          <w:sz w:val="20"/>
          <w:szCs w:val="20"/>
        </w:rPr>
      </w:pPr>
      <w:r w:rsidRPr="006D7B25">
        <w:rPr>
          <w:sz w:val="20"/>
          <w:szCs w:val="20"/>
        </w:rPr>
        <w:t>OG</w:t>
      </w:r>
      <w:r w:rsidR="00293E06" w:rsidRPr="006D7B25">
        <w:rPr>
          <w:sz w:val="20"/>
          <w:szCs w:val="20"/>
        </w:rPr>
        <w:t xml:space="preserve"> approaches to teaching reading are systematic, sequential, and multisensory and use both analytic (breaking down words into component parts) and synthetic (building up words from letters) </w:t>
      </w:r>
      <w:r w:rsidR="00DE2F41" w:rsidRPr="006D7B25">
        <w:rPr>
          <w:sz w:val="20"/>
          <w:szCs w:val="20"/>
        </w:rPr>
        <w:t xml:space="preserve">strategies </w:t>
      </w:r>
      <w:r w:rsidR="00293E06" w:rsidRPr="006D7B25">
        <w:rPr>
          <w:sz w:val="20"/>
          <w:szCs w:val="20"/>
        </w:rPr>
        <w:t>to teach phonics</w:t>
      </w:r>
      <w:r w:rsidR="007D0AAD" w:rsidRPr="006D7B25">
        <w:rPr>
          <w:sz w:val="20"/>
          <w:szCs w:val="20"/>
        </w:rPr>
        <w:t xml:space="preserve"> (Ritchey &amp; Goeke, 2006)</w:t>
      </w:r>
      <w:r w:rsidR="00820DE4" w:rsidRPr="006D7B25">
        <w:rPr>
          <w:sz w:val="20"/>
          <w:szCs w:val="20"/>
        </w:rPr>
        <w:t xml:space="preserve">.  On the other hand, OG-based approaches are similar to OG approaches in terms of underlying principles, but typically differ from those approaches as it relates to populations targeted (e.g., adults), instructional settings and materials, and etc. </w:t>
      </w:r>
      <w:r w:rsidR="00293E06" w:rsidRPr="006D7B25">
        <w:rPr>
          <w:sz w:val="20"/>
          <w:szCs w:val="20"/>
        </w:rPr>
        <w:t xml:space="preserve">(Ritchey &amp; Goeke, </w:t>
      </w:r>
      <w:r w:rsidR="001631EF" w:rsidRPr="006D7B25">
        <w:rPr>
          <w:sz w:val="20"/>
          <w:szCs w:val="20"/>
        </w:rPr>
        <w:t>2006</w:t>
      </w:r>
      <w:r w:rsidR="00293E06" w:rsidRPr="006D7B25">
        <w:rPr>
          <w:sz w:val="20"/>
          <w:szCs w:val="20"/>
        </w:rPr>
        <w:t xml:space="preserve">).  A key component of </w:t>
      </w:r>
      <w:r w:rsidR="007D0AAD" w:rsidRPr="006D7B25">
        <w:rPr>
          <w:sz w:val="20"/>
          <w:szCs w:val="20"/>
        </w:rPr>
        <w:t xml:space="preserve">both </w:t>
      </w:r>
      <w:r w:rsidR="00293E06" w:rsidRPr="006D7B25">
        <w:rPr>
          <w:sz w:val="20"/>
          <w:szCs w:val="20"/>
        </w:rPr>
        <w:t>approaches is the</w:t>
      </w:r>
      <w:r w:rsidR="00CE0346" w:rsidRPr="006D7B25">
        <w:rPr>
          <w:sz w:val="20"/>
          <w:szCs w:val="20"/>
        </w:rPr>
        <w:t>ir</w:t>
      </w:r>
      <w:r w:rsidR="00293E06" w:rsidRPr="006D7B25">
        <w:rPr>
          <w:sz w:val="20"/>
          <w:szCs w:val="20"/>
        </w:rPr>
        <w:t xml:space="preserve"> use of the visual, auditory, and tactile-kinesthetic pathways to explicitly teach phonology, phonologica</w:t>
      </w:r>
      <w:r w:rsidR="0013737B" w:rsidRPr="006D7B25">
        <w:rPr>
          <w:sz w:val="20"/>
          <w:szCs w:val="20"/>
        </w:rPr>
        <w:t>l</w:t>
      </w:r>
      <w:r w:rsidR="00293E06" w:rsidRPr="006D7B25">
        <w:rPr>
          <w:sz w:val="20"/>
          <w:szCs w:val="20"/>
        </w:rPr>
        <w:t xml:space="preserve">-awareness, and </w:t>
      </w:r>
      <w:r w:rsidR="0013737B" w:rsidRPr="006D7B25">
        <w:rPr>
          <w:sz w:val="20"/>
          <w:szCs w:val="20"/>
        </w:rPr>
        <w:t xml:space="preserve">sound-symbol correspondence. </w:t>
      </w:r>
    </w:p>
    <w:p w:rsidR="00F542D9" w:rsidRDefault="00F542D9" w:rsidP="00F542D9">
      <w:pPr>
        <w:jc w:val="both"/>
        <w:rPr>
          <w:sz w:val="20"/>
          <w:szCs w:val="20"/>
        </w:rPr>
      </w:pPr>
    </w:p>
    <w:p w:rsidR="007F40D4" w:rsidRPr="006D7B25" w:rsidRDefault="007B5A89" w:rsidP="00F542D9">
      <w:pPr>
        <w:jc w:val="both"/>
        <w:rPr>
          <w:sz w:val="20"/>
          <w:szCs w:val="20"/>
        </w:rPr>
      </w:pPr>
      <w:proofErr w:type="spellStart"/>
      <w:r w:rsidRPr="006D7B25">
        <w:rPr>
          <w:sz w:val="20"/>
          <w:szCs w:val="20"/>
        </w:rPr>
        <w:t>Gillingham</w:t>
      </w:r>
      <w:proofErr w:type="spellEnd"/>
      <w:r w:rsidRPr="006D7B25">
        <w:rPr>
          <w:sz w:val="20"/>
          <w:szCs w:val="20"/>
        </w:rPr>
        <w:t xml:space="preserve"> and </w:t>
      </w:r>
      <w:proofErr w:type="spellStart"/>
      <w:r w:rsidRPr="006D7B25">
        <w:rPr>
          <w:sz w:val="20"/>
          <w:szCs w:val="20"/>
        </w:rPr>
        <w:t>Stillman</w:t>
      </w:r>
      <w:proofErr w:type="spellEnd"/>
      <w:r w:rsidRPr="006D7B25">
        <w:rPr>
          <w:sz w:val="20"/>
          <w:szCs w:val="20"/>
        </w:rPr>
        <w:t xml:space="preserve"> (1960) developed the first OG curriculum, taken directly from the original work of Samuel Orton. </w:t>
      </w:r>
      <w:r w:rsidR="005D0350" w:rsidRPr="006D7B25">
        <w:rPr>
          <w:sz w:val="20"/>
          <w:szCs w:val="20"/>
        </w:rPr>
        <w:t xml:space="preserve">Currently, </w:t>
      </w:r>
      <w:r w:rsidRPr="006D7B25">
        <w:rPr>
          <w:sz w:val="20"/>
          <w:szCs w:val="20"/>
        </w:rPr>
        <w:t xml:space="preserve">many programs exist that are adaptations or extensions of the original OG methodology and may differ in instructional setting, materials, or targeted age group; however, OG-based methods still retain the underlying instructional philosophy of Orton and Gillingham and Stillman (Ritchey &amp; Goeke, 2006). </w:t>
      </w:r>
    </w:p>
    <w:p w:rsidR="00F542D9" w:rsidRDefault="00F542D9" w:rsidP="00F542D9">
      <w:pPr>
        <w:jc w:val="both"/>
        <w:rPr>
          <w:iCs/>
          <w:color w:val="000000"/>
          <w:sz w:val="20"/>
          <w:szCs w:val="20"/>
        </w:rPr>
      </w:pPr>
    </w:p>
    <w:p w:rsidR="00E40728" w:rsidRPr="006D7B25" w:rsidRDefault="00570B16" w:rsidP="00F542D9">
      <w:pPr>
        <w:jc w:val="both"/>
        <w:rPr>
          <w:sz w:val="20"/>
          <w:szCs w:val="20"/>
        </w:rPr>
      </w:pPr>
      <w:r w:rsidRPr="006D7B25">
        <w:rPr>
          <w:iCs/>
          <w:color w:val="000000"/>
          <w:sz w:val="20"/>
          <w:szCs w:val="20"/>
        </w:rPr>
        <w:t xml:space="preserve">A fundamental </w:t>
      </w:r>
      <w:r w:rsidR="00DB74E6" w:rsidRPr="006D7B25">
        <w:rPr>
          <w:iCs/>
          <w:color w:val="000000"/>
          <w:sz w:val="20"/>
          <w:szCs w:val="20"/>
        </w:rPr>
        <w:t xml:space="preserve">principle </w:t>
      </w:r>
      <w:r w:rsidRPr="006D7B25">
        <w:rPr>
          <w:iCs/>
          <w:color w:val="000000"/>
          <w:sz w:val="20"/>
          <w:szCs w:val="20"/>
        </w:rPr>
        <w:t xml:space="preserve">of </w:t>
      </w:r>
      <w:r w:rsidR="00DA27AB" w:rsidRPr="006D7B25">
        <w:rPr>
          <w:iCs/>
          <w:color w:val="000000"/>
          <w:sz w:val="20"/>
          <w:szCs w:val="20"/>
        </w:rPr>
        <w:t>OG</w:t>
      </w:r>
      <w:r w:rsidRPr="006D7B25">
        <w:rPr>
          <w:iCs/>
          <w:color w:val="000000"/>
          <w:sz w:val="20"/>
          <w:szCs w:val="20"/>
        </w:rPr>
        <w:t xml:space="preserve"> or </w:t>
      </w:r>
      <w:r w:rsidR="00DA27AB" w:rsidRPr="006D7B25">
        <w:rPr>
          <w:iCs/>
          <w:color w:val="000000"/>
          <w:sz w:val="20"/>
          <w:szCs w:val="20"/>
        </w:rPr>
        <w:t>OG</w:t>
      </w:r>
      <w:r w:rsidRPr="006D7B25">
        <w:rPr>
          <w:iCs/>
          <w:color w:val="000000"/>
          <w:sz w:val="20"/>
          <w:szCs w:val="20"/>
        </w:rPr>
        <w:t>-based program</w:t>
      </w:r>
      <w:r w:rsidR="003C3F0E" w:rsidRPr="006D7B25">
        <w:rPr>
          <w:iCs/>
          <w:color w:val="000000"/>
          <w:sz w:val="20"/>
          <w:szCs w:val="20"/>
        </w:rPr>
        <w:t>s</w:t>
      </w:r>
      <w:r w:rsidRPr="006D7B25">
        <w:rPr>
          <w:iCs/>
          <w:color w:val="000000"/>
          <w:sz w:val="20"/>
          <w:szCs w:val="20"/>
        </w:rPr>
        <w:t xml:space="preserve"> is to </w:t>
      </w:r>
      <w:r w:rsidRPr="006D7B25">
        <w:rPr>
          <w:sz w:val="20"/>
          <w:szCs w:val="20"/>
        </w:rPr>
        <w:t>strengthen specific</w:t>
      </w:r>
      <w:r w:rsidRPr="001F0E8F">
        <w:rPr>
          <w:i/>
          <w:sz w:val="20"/>
          <w:szCs w:val="20"/>
        </w:rPr>
        <w:t xml:space="preserve"> </w:t>
      </w:r>
      <w:r w:rsidR="001F0E8F" w:rsidRPr="001F0E8F">
        <w:rPr>
          <w:i/>
          <w:sz w:val="20"/>
          <w:szCs w:val="20"/>
        </w:rPr>
        <w:t>links</w:t>
      </w:r>
      <w:r w:rsidRPr="006D7B25">
        <w:rPr>
          <w:sz w:val="20"/>
          <w:szCs w:val="20"/>
        </w:rPr>
        <w:t xml:space="preserve"> or components of the reading process, regardless of the reason(s) underlying the student’s weakened literacy skills (Snow &amp; Biancarosa, 2003), and to use </w:t>
      </w:r>
      <w:r w:rsidR="00892E75" w:rsidRPr="00892E75">
        <w:rPr>
          <w:i/>
          <w:sz w:val="20"/>
          <w:szCs w:val="20"/>
        </w:rPr>
        <w:t>proven</w:t>
      </w:r>
      <w:r w:rsidRPr="006D7B25">
        <w:rPr>
          <w:sz w:val="20"/>
          <w:szCs w:val="20"/>
        </w:rPr>
        <w:t xml:space="preserve"> practices and principles of reading and writing instruction (Fisher &amp; Frey, 2007; Foorman &amp; Torgesen, 2001; National Reading Panel, 2000; </w:t>
      </w:r>
      <w:r w:rsidRPr="006D7B25">
        <w:rPr>
          <w:color w:val="000000"/>
          <w:sz w:val="20"/>
          <w:szCs w:val="20"/>
        </w:rPr>
        <w:t xml:space="preserve">Torgesen, Alexander, Wagner, Rashotte, Voeller, &amp; Conway, 2001; What Works Clearinghouse, 2009). </w:t>
      </w:r>
      <w:r w:rsidR="00E30544" w:rsidRPr="006D7B25">
        <w:rPr>
          <w:color w:val="000000"/>
          <w:sz w:val="20"/>
          <w:szCs w:val="20"/>
        </w:rPr>
        <w:t xml:space="preserve">Through </w:t>
      </w:r>
      <w:r w:rsidR="00DA27AB" w:rsidRPr="006D7B25">
        <w:rPr>
          <w:color w:val="000000"/>
          <w:sz w:val="20"/>
          <w:szCs w:val="20"/>
        </w:rPr>
        <w:t>OG</w:t>
      </w:r>
      <w:r w:rsidR="0013737B" w:rsidRPr="006D7B25">
        <w:rPr>
          <w:color w:val="000000"/>
          <w:sz w:val="20"/>
          <w:szCs w:val="20"/>
        </w:rPr>
        <w:t xml:space="preserve"> </w:t>
      </w:r>
      <w:r w:rsidR="00E30544" w:rsidRPr="006D7B25">
        <w:rPr>
          <w:color w:val="000000"/>
          <w:sz w:val="20"/>
          <w:szCs w:val="20"/>
        </w:rPr>
        <w:t xml:space="preserve">programs, </w:t>
      </w:r>
      <w:r w:rsidR="0013737B" w:rsidRPr="006D7B25">
        <w:rPr>
          <w:color w:val="000000"/>
          <w:sz w:val="20"/>
          <w:szCs w:val="20"/>
        </w:rPr>
        <w:t xml:space="preserve">teachers </w:t>
      </w:r>
      <w:r w:rsidR="00DB74E6" w:rsidRPr="006D7B25">
        <w:rPr>
          <w:color w:val="000000"/>
          <w:sz w:val="20"/>
          <w:szCs w:val="20"/>
        </w:rPr>
        <w:t xml:space="preserve">and </w:t>
      </w:r>
      <w:r w:rsidR="0013737B" w:rsidRPr="006D7B25">
        <w:rPr>
          <w:color w:val="000000"/>
          <w:sz w:val="20"/>
          <w:szCs w:val="20"/>
        </w:rPr>
        <w:t xml:space="preserve">tutors continually monitor students’ acquisition and generalization of reading skills and do not proceed to new skills until current skills are mastered. </w:t>
      </w:r>
      <w:r w:rsidRPr="006D7B25">
        <w:rPr>
          <w:color w:val="000000"/>
          <w:sz w:val="20"/>
          <w:szCs w:val="20"/>
        </w:rPr>
        <w:t xml:space="preserve"> </w:t>
      </w:r>
      <w:r w:rsidR="0013737B" w:rsidRPr="006D7B25">
        <w:rPr>
          <w:color w:val="000000"/>
          <w:sz w:val="20"/>
          <w:szCs w:val="20"/>
        </w:rPr>
        <w:t xml:space="preserve">These characteristics suggest that </w:t>
      </w:r>
      <w:r w:rsidR="00DA27AB" w:rsidRPr="006D7B25">
        <w:rPr>
          <w:color w:val="000000"/>
          <w:sz w:val="20"/>
          <w:szCs w:val="20"/>
        </w:rPr>
        <w:t>OG</w:t>
      </w:r>
      <w:r w:rsidR="0013737B" w:rsidRPr="006D7B25">
        <w:rPr>
          <w:color w:val="000000"/>
          <w:sz w:val="20"/>
          <w:szCs w:val="20"/>
        </w:rPr>
        <w:t xml:space="preserve"> programs are good choices for implementation within a</w:t>
      </w:r>
      <w:r w:rsidR="00A50F71" w:rsidRPr="006D7B25">
        <w:rPr>
          <w:color w:val="000000"/>
          <w:sz w:val="20"/>
          <w:szCs w:val="20"/>
        </w:rPr>
        <w:t xml:space="preserve"> response to instruction </w:t>
      </w:r>
      <w:r w:rsidR="0013737B" w:rsidRPr="006D7B25">
        <w:rPr>
          <w:color w:val="000000"/>
          <w:sz w:val="20"/>
          <w:szCs w:val="20"/>
        </w:rPr>
        <w:t>framework</w:t>
      </w:r>
      <w:r w:rsidR="008C74DD" w:rsidRPr="006D7B25">
        <w:rPr>
          <w:color w:val="000000"/>
          <w:sz w:val="20"/>
          <w:szCs w:val="20"/>
        </w:rPr>
        <w:t xml:space="preserve"> (</w:t>
      </w:r>
      <w:r w:rsidR="006C1B77" w:rsidRPr="006D7B25">
        <w:rPr>
          <w:sz w:val="20"/>
          <w:szCs w:val="20"/>
        </w:rPr>
        <w:t xml:space="preserve">Bartolo, Hofsaess, &amp; Koinzer, 2005; </w:t>
      </w:r>
      <w:r w:rsidR="008C74DD" w:rsidRPr="006D7B25">
        <w:rPr>
          <w:sz w:val="20"/>
          <w:szCs w:val="20"/>
        </w:rPr>
        <w:t>Humphrey, Bartolo, Ale, Calleja, Hofsaess, Janikova, Mol, Vikiene, &amp; Wetso, 2006)</w:t>
      </w:r>
      <w:r w:rsidR="0015735A" w:rsidRPr="006D7B25">
        <w:rPr>
          <w:sz w:val="20"/>
          <w:szCs w:val="20"/>
        </w:rPr>
        <w:t xml:space="preserve"> </w:t>
      </w:r>
      <w:r w:rsidR="0013737B" w:rsidRPr="006D7B25">
        <w:rPr>
          <w:color w:val="000000"/>
          <w:sz w:val="20"/>
          <w:szCs w:val="20"/>
        </w:rPr>
        <w:t xml:space="preserve">particularly where instruction </w:t>
      </w:r>
      <w:r w:rsidR="00A50F71" w:rsidRPr="006D7B25">
        <w:rPr>
          <w:color w:val="000000"/>
          <w:sz w:val="20"/>
          <w:szCs w:val="20"/>
        </w:rPr>
        <w:t xml:space="preserve">must be </w:t>
      </w:r>
      <w:r w:rsidR="0013737B" w:rsidRPr="006D7B25">
        <w:rPr>
          <w:color w:val="000000"/>
          <w:sz w:val="20"/>
          <w:szCs w:val="20"/>
        </w:rPr>
        <w:t xml:space="preserve">individualized and intensive. </w:t>
      </w:r>
      <w:r w:rsidRPr="006D7B25">
        <w:rPr>
          <w:sz w:val="20"/>
          <w:szCs w:val="20"/>
        </w:rPr>
        <w:t xml:space="preserve">However, little empirical evidence </w:t>
      </w:r>
      <w:r w:rsidR="00902C3C" w:rsidRPr="006D7B25">
        <w:rPr>
          <w:sz w:val="20"/>
          <w:szCs w:val="20"/>
        </w:rPr>
        <w:t xml:space="preserve">exists </w:t>
      </w:r>
      <w:r w:rsidR="0023347D" w:rsidRPr="006D7B25">
        <w:rPr>
          <w:sz w:val="20"/>
          <w:szCs w:val="20"/>
        </w:rPr>
        <w:t>related</w:t>
      </w:r>
      <w:r w:rsidR="00E30544" w:rsidRPr="006D7B25">
        <w:rPr>
          <w:sz w:val="20"/>
          <w:szCs w:val="20"/>
        </w:rPr>
        <w:t xml:space="preserve"> to </w:t>
      </w:r>
      <w:r w:rsidRPr="006D7B25">
        <w:rPr>
          <w:sz w:val="20"/>
          <w:szCs w:val="20"/>
        </w:rPr>
        <w:t xml:space="preserve">the overall effectiveness of </w:t>
      </w:r>
      <w:r w:rsidR="00DA27AB" w:rsidRPr="006D7B25">
        <w:rPr>
          <w:sz w:val="20"/>
          <w:szCs w:val="20"/>
        </w:rPr>
        <w:t>OG</w:t>
      </w:r>
      <w:r w:rsidR="00984298" w:rsidRPr="006D7B25">
        <w:rPr>
          <w:sz w:val="20"/>
          <w:szCs w:val="20"/>
        </w:rPr>
        <w:t xml:space="preserve"> </w:t>
      </w:r>
      <w:r w:rsidR="00902C3C" w:rsidRPr="006D7B25">
        <w:rPr>
          <w:sz w:val="20"/>
          <w:szCs w:val="20"/>
        </w:rPr>
        <w:t xml:space="preserve">and </w:t>
      </w:r>
      <w:r w:rsidR="00984298" w:rsidRPr="006D7B25">
        <w:rPr>
          <w:sz w:val="20"/>
          <w:szCs w:val="20"/>
        </w:rPr>
        <w:t>OG-based</w:t>
      </w:r>
      <w:r w:rsidRPr="006D7B25">
        <w:rPr>
          <w:sz w:val="20"/>
          <w:szCs w:val="20"/>
        </w:rPr>
        <w:t xml:space="preserve"> reading instructional programs when they are used with struggling readers in one-</w:t>
      </w:r>
      <w:r w:rsidR="00902C3C" w:rsidRPr="006D7B25">
        <w:rPr>
          <w:sz w:val="20"/>
          <w:szCs w:val="20"/>
        </w:rPr>
        <w:t>on</w:t>
      </w:r>
      <w:r w:rsidRPr="006D7B25">
        <w:rPr>
          <w:sz w:val="20"/>
          <w:szCs w:val="20"/>
        </w:rPr>
        <w:t xml:space="preserve">-one and </w:t>
      </w:r>
      <w:r w:rsidR="00902C3C" w:rsidRPr="006D7B25">
        <w:rPr>
          <w:sz w:val="20"/>
          <w:szCs w:val="20"/>
        </w:rPr>
        <w:t xml:space="preserve">small </w:t>
      </w:r>
      <w:r w:rsidRPr="006D7B25">
        <w:rPr>
          <w:sz w:val="20"/>
          <w:szCs w:val="20"/>
        </w:rPr>
        <w:t>group situations (Snow &amp; Biancarosa, 2003; Begeny &amp; Silber, 2006)</w:t>
      </w:r>
      <w:r w:rsidR="000F4B09" w:rsidRPr="006D7B25">
        <w:rPr>
          <w:sz w:val="20"/>
          <w:szCs w:val="20"/>
        </w:rPr>
        <w:t xml:space="preserve">, whether </w:t>
      </w:r>
      <w:r w:rsidR="0023347D" w:rsidRPr="006D7B25">
        <w:rPr>
          <w:sz w:val="20"/>
          <w:szCs w:val="20"/>
        </w:rPr>
        <w:t xml:space="preserve">such programs are </w:t>
      </w:r>
      <w:r w:rsidR="000F4B09" w:rsidRPr="006D7B25">
        <w:rPr>
          <w:sz w:val="20"/>
          <w:szCs w:val="20"/>
        </w:rPr>
        <w:t>use</w:t>
      </w:r>
      <w:r w:rsidR="00E30544" w:rsidRPr="006D7B25">
        <w:rPr>
          <w:sz w:val="20"/>
          <w:szCs w:val="20"/>
        </w:rPr>
        <w:t>d</w:t>
      </w:r>
      <w:r w:rsidR="000F4B09" w:rsidRPr="006D7B25">
        <w:rPr>
          <w:sz w:val="20"/>
          <w:szCs w:val="20"/>
        </w:rPr>
        <w:t xml:space="preserve"> </w:t>
      </w:r>
      <w:r w:rsidRPr="006D7B25">
        <w:rPr>
          <w:sz w:val="20"/>
          <w:szCs w:val="20"/>
        </w:rPr>
        <w:t xml:space="preserve">as </w:t>
      </w:r>
      <w:r w:rsidR="00355ACD" w:rsidRPr="006D7B25">
        <w:rPr>
          <w:sz w:val="20"/>
          <w:szCs w:val="20"/>
        </w:rPr>
        <w:t xml:space="preserve">students’ </w:t>
      </w:r>
      <w:r w:rsidRPr="006D7B25">
        <w:rPr>
          <w:sz w:val="20"/>
          <w:szCs w:val="20"/>
        </w:rPr>
        <w:t xml:space="preserve">sole reading instructional method or as a supplement to other methods </w:t>
      </w:r>
      <w:r w:rsidR="000F4B09" w:rsidRPr="006D7B25">
        <w:rPr>
          <w:sz w:val="20"/>
          <w:szCs w:val="20"/>
        </w:rPr>
        <w:t xml:space="preserve">students are receiving </w:t>
      </w:r>
      <w:r w:rsidRPr="006D7B25">
        <w:rPr>
          <w:sz w:val="20"/>
          <w:szCs w:val="20"/>
        </w:rPr>
        <w:t xml:space="preserve">(Rose &amp; Zirkel, 2007).  </w:t>
      </w:r>
    </w:p>
    <w:p w:rsidR="00F542D9" w:rsidRDefault="00F542D9" w:rsidP="00F542D9">
      <w:pPr>
        <w:jc w:val="both"/>
        <w:rPr>
          <w:sz w:val="20"/>
          <w:szCs w:val="20"/>
        </w:rPr>
      </w:pPr>
    </w:p>
    <w:p w:rsidR="00570B16" w:rsidRPr="006D7B25" w:rsidRDefault="00570B16" w:rsidP="00F542D9">
      <w:pPr>
        <w:jc w:val="both"/>
        <w:rPr>
          <w:sz w:val="20"/>
          <w:szCs w:val="20"/>
        </w:rPr>
      </w:pPr>
      <w:r w:rsidRPr="006D7B25">
        <w:rPr>
          <w:sz w:val="20"/>
          <w:szCs w:val="20"/>
        </w:rPr>
        <w:t xml:space="preserve">Ritchey and </w:t>
      </w:r>
      <w:proofErr w:type="spellStart"/>
      <w:r w:rsidRPr="006D7B25">
        <w:rPr>
          <w:sz w:val="20"/>
          <w:szCs w:val="20"/>
        </w:rPr>
        <w:t>Goeke</w:t>
      </w:r>
      <w:proofErr w:type="spellEnd"/>
      <w:r w:rsidRPr="006D7B25">
        <w:rPr>
          <w:sz w:val="20"/>
          <w:szCs w:val="20"/>
        </w:rPr>
        <w:t xml:space="preserve"> (2006) conducted a review of the literature on </w:t>
      </w:r>
      <w:r w:rsidR="00DA27AB" w:rsidRPr="006D7B25">
        <w:rPr>
          <w:sz w:val="20"/>
          <w:szCs w:val="20"/>
        </w:rPr>
        <w:t>OG</w:t>
      </w:r>
      <w:r w:rsidRPr="006D7B25">
        <w:rPr>
          <w:sz w:val="20"/>
          <w:szCs w:val="20"/>
        </w:rPr>
        <w:t xml:space="preserve"> and </w:t>
      </w:r>
      <w:r w:rsidR="00DA27AB" w:rsidRPr="006D7B25">
        <w:rPr>
          <w:sz w:val="20"/>
          <w:szCs w:val="20"/>
        </w:rPr>
        <w:t>OG</w:t>
      </w:r>
      <w:r w:rsidRPr="006D7B25">
        <w:rPr>
          <w:sz w:val="20"/>
          <w:szCs w:val="20"/>
        </w:rPr>
        <w:t>-based reading instruction programs to determine their effectiveness with students who have reading disabilities.   The</w:t>
      </w:r>
      <w:r w:rsidR="00D15669" w:rsidRPr="006D7B25">
        <w:rPr>
          <w:sz w:val="20"/>
          <w:szCs w:val="20"/>
        </w:rPr>
        <w:t xml:space="preserve">ir search </w:t>
      </w:r>
      <w:r w:rsidRPr="006D7B25">
        <w:rPr>
          <w:sz w:val="20"/>
          <w:szCs w:val="20"/>
        </w:rPr>
        <w:t>y</w:t>
      </w:r>
      <w:r w:rsidR="00D15669" w:rsidRPr="006D7B25">
        <w:rPr>
          <w:sz w:val="20"/>
          <w:szCs w:val="20"/>
        </w:rPr>
        <w:t>ielded</w:t>
      </w:r>
      <w:r w:rsidRPr="006D7B25">
        <w:rPr>
          <w:sz w:val="20"/>
          <w:szCs w:val="20"/>
        </w:rPr>
        <w:t xml:space="preserve"> only 12 st</w:t>
      </w:r>
      <w:r w:rsidR="001F0E8F">
        <w:rPr>
          <w:sz w:val="20"/>
          <w:szCs w:val="20"/>
        </w:rPr>
        <w:t xml:space="preserve">udies that met the criteria of </w:t>
      </w:r>
      <w:r w:rsidRPr="001F0E8F">
        <w:rPr>
          <w:i/>
          <w:sz w:val="20"/>
          <w:szCs w:val="20"/>
        </w:rPr>
        <w:t>scientifically</w:t>
      </w:r>
      <w:r w:rsidR="00D00450" w:rsidRPr="001F0E8F">
        <w:rPr>
          <w:i/>
          <w:sz w:val="20"/>
          <w:szCs w:val="20"/>
        </w:rPr>
        <w:t>-</w:t>
      </w:r>
      <w:r w:rsidRPr="001F0E8F">
        <w:rPr>
          <w:i/>
          <w:sz w:val="20"/>
          <w:szCs w:val="20"/>
        </w:rPr>
        <w:t>based research</w:t>
      </w:r>
      <w:r w:rsidR="00D00450" w:rsidRPr="006D7B25">
        <w:rPr>
          <w:sz w:val="20"/>
          <w:szCs w:val="20"/>
        </w:rPr>
        <w:t>,</w:t>
      </w:r>
      <w:r w:rsidRPr="006D7B25">
        <w:rPr>
          <w:sz w:val="20"/>
          <w:szCs w:val="20"/>
        </w:rPr>
        <w:t xml:space="preserve"> </w:t>
      </w:r>
      <w:r w:rsidR="00984298" w:rsidRPr="006D7B25">
        <w:rPr>
          <w:sz w:val="20"/>
          <w:szCs w:val="20"/>
        </w:rPr>
        <w:t>established</w:t>
      </w:r>
      <w:r w:rsidRPr="006D7B25">
        <w:rPr>
          <w:sz w:val="20"/>
          <w:szCs w:val="20"/>
        </w:rPr>
        <w:t xml:space="preserve"> by the No Child Left Behind Act (NCLB) of 2001.  </w:t>
      </w:r>
      <w:r w:rsidR="00935988" w:rsidRPr="006D7B25">
        <w:rPr>
          <w:sz w:val="20"/>
          <w:szCs w:val="20"/>
        </w:rPr>
        <w:t xml:space="preserve">Studies that were included had to have </w:t>
      </w:r>
      <w:r w:rsidR="00984298" w:rsidRPr="006D7B25">
        <w:rPr>
          <w:sz w:val="20"/>
          <w:szCs w:val="20"/>
        </w:rPr>
        <w:t xml:space="preserve">(1) </w:t>
      </w:r>
      <w:r w:rsidR="00E30544" w:rsidRPr="006D7B25">
        <w:rPr>
          <w:sz w:val="20"/>
          <w:szCs w:val="20"/>
        </w:rPr>
        <w:t xml:space="preserve">been </w:t>
      </w:r>
      <w:r w:rsidRPr="006D7B25">
        <w:rPr>
          <w:sz w:val="20"/>
          <w:szCs w:val="20"/>
        </w:rPr>
        <w:t>published in a peer-reviewed journal or studies conducted as doctoral dissertations</w:t>
      </w:r>
      <w:r w:rsidR="00984298" w:rsidRPr="006D7B25">
        <w:rPr>
          <w:sz w:val="20"/>
          <w:szCs w:val="20"/>
        </w:rPr>
        <w:t>; (2)</w:t>
      </w:r>
      <w:r w:rsidRPr="006D7B25">
        <w:rPr>
          <w:sz w:val="20"/>
          <w:szCs w:val="20"/>
        </w:rPr>
        <w:t xml:space="preserve"> used an experimental, quasi-experimental, or single-subject research design to investigate </w:t>
      </w:r>
      <w:r w:rsidR="00DA27AB" w:rsidRPr="006D7B25">
        <w:rPr>
          <w:sz w:val="20"/>
          <w:szCs w:val="20"/>
        </w:rPr>
        <w:t>OG</w:t>
      </w:r>
      <w:r w:rsidRPr="006D7B25">
        <w:rPr>
          <w:sz w:val="20"/>
          <w:szCs w:val="20"/>
        </w:rPr>
        <w:t>-based methods or philosophy</w:t>
      </w:r>
      <w:r w:rsidR="00984298" w:rsidRPr="006D7B25">
        <w:rPr>
          <w:sz w:val="20"/>
          <w:szCs w:val="20"/>
        </w:rPr>
        <w:t>;</w:t>
      </w:r>
      <w:r w:rsidRPr="006D7B25">
        <w:rPr>
          <w:sz w:val="20"/>
          <w:szCs w:val="20"/>
        </w:rPr>
        <w:t xml:space="preserve"> (3) had a sample size of 10 or more participants per experimental condition.  </w:t>
      </w:r>
      <w:r w:rsidR="0011303C" w:rsidRPr="006D7B25">
        <w:rPr>
          <w:sz w:val="20"/>
          <w:szCs w:val="20"/>
        </w:rPr>
        <w:t xml:space="preserve">Ritchey </w:t>
      </w:r>
      <w:r w:rsidR="008D3B5F" w:rsidRPr="006D7B25">
        <w:rPr>
          <w:sz w:val="20"/>
          <w:szCs w:val="20"/>
        </w:rPr>
        <w:t xml:space="preserve">and Goeke </w:t>
      </w:r>
      <w:r w:rsidR="0011303C" w:rsidRPr="006D7B25">
        <w:rPr>
          <w:sz w:val="20"/>
          <w:szCs w:val="20"/>
        </w:rPr>
        <w:t xml:space="preserve">found that </w:t>
      </w:r>
      <w:r w:rsidR="008D3B5F" w:rsidRPr="006D7B25">
        <w:rPr>
          <w:sz w:val="20"/>
          <w:szCs w:val="20"/>
        </w:rPr>
        <w:t>t</w:t>
      </w:r>
      <w:r w:rsidR="00E40728" w:rsidRPr="006D7B25">
        <w:rPr>
          <w:sz w:val="20"/>
          <w:szCs w:val="20"/>
        </w:rPr>
        <w:t xml:space="preserve">he OG </w:t>
      </w:r>
      <w:r w:rsidR="00E40728" w:rsidRPr="006D7B25">
        <w:rPr>
          <w:sz w:val="20"/>
          <w:szCs w:val="20"/>
        </w:rPr>
        <w:lastRenderedPageBreak/>
        <w:t xml:space="preserve">and OG-based studies that reported effective interventions found positive results for word reading, word decoding or word attack, spelling, and comprehension; however, not all studies </w:t>
      </w:r>
      <w:r w:rsidR="00984298" w:rsidRPr="006D7B25">
        <w:rPr>
          <w:sz w:val="20"/>
          <w:szCs w:val="20"/>
        </w:rPr>
        <w:t>reviewed</w:t>
      </w:r>
      <w:r w:rsidR="007F6779" w:rsidRPr="006D7B25">
        <w:rPr>
          <w:sz w:val="20"/>
          <w:szCs w:val="20"/>
        </w:rPr>
        <w:t xml:space="preserve"> found positive results or statistically significant results for OG or OG-based programs</w:t>
      </w:r>
      <w:r w:rsidR="0003122D" w:rsidRPr="006D7B25">
        <w:rPr>
          <w:sz w:val="20"/>
          <w:szCs w:val="20"/>
        </w:rPr>
        <w:t xml:space="preserve">, including </w:t>
      </w:r>
      <w:r w:rsidR="008D3B5F" w:rsidRPr="006D7B25">
        <w:rPr>
          <w:sz w:val="20"/>
          <w:szCs w:val="20"/>
        </w:rPr>
        <w:t xml:space="preserve">those studies conducted by </w:t>
      </w:r>
      <w:r w:rsidR="0003122D" w:rsidRPr="006D7B25">
        <w:rPr>
          <w:sz w:val="20"/>
          <w:szCs w:val="20"/>
        </w:rPr>
        <w:t>C</w:t>
      </w:r>
      <w:r w:rsidR="0003122D" w:rsidRPr="006D7B25">
        <w:rPr>
          <w:rFonts w:eastAsia="Times New Roman"/>
          <w:sz w:val="20"/>
          <w:szCs w:val="20"/>
        </w:rPr>
        <w:t>handler, Munday, Tunnell, and Windham (1993)</w:t>
      </w:r>
      <w:r w:rsidR="003E4278" w:rsidRPr="006D7B25">
        <w:rPr>
          <w:rFonts w:eastAsia="Times New Roman"/>
          <w:sz w:val="20"/>
          <w:szCs w:val="20"/>
        </w:rPr>
        <w:t xml:space="preserve">, </w:t>
      </w:r>
      <w:r w:rsidR="00D6475F" w:rsidRPr="006D7B25">
        <w:rPr>
          <w:rFonts w:eastAsia="Times New Roman"/>
          <w:sz w:val="20"/>
          <w:szCs w:val="20"/>
        </w:rPr>
        <w:t>Hook, Macaruso, and Jones (2001)</w:t>
      </w:r>
      <w:r w:rsidR="003E4278" w:rsidRPr="006D7B25">
        <w:rPr>
          <w:rFonts w:eastAsia="Times New Roman"/>
          <w:sz w:val="20"/>
          <w:szCs w:val="20"/>
        </w:rPr>
        <w:t>, and Bishop, Adams, and Lehtonen (2005)</w:t>
      </w:r>
      <w:r w:rsidR="00D6475F" w:rsidRPr="006D7B25">
        <w:rPr>
          <w:rFonts w:eastAsia="Times New Roman"/>
          <w:sz w:val="20"/>
          <w:szCs w:val="20"/>
        </w:rPr>
        <w:t>.</w:t>
      </w:r>
      <w:r w:rsidR="007251A3" w:rsidRPr="006D7B25">
        <w:rPr>
          <w:rFonts w:eastAsia="Times New Roman"/>
          <w:sz w:val="20"/>
          <w:szCs w:val="20"/>
        </w:rPr>
        <w:t xml:space="preserve">  </w:t>
      </w:r>
      <w:r w:rsidR="00984298" w:rsidRPr="006D7B25">
        <w:rPr>
          <w:sz w:val="20"/>
          <w:szCs w:val="20"/>
        </w:rPr>
        <w:t>Ritchey and Goeke</w:t>
      </w:r>
      <w:r w:rsidR="008D3B5F" w:rsidRPr="006D7B25">
        <w:rPr>
          <w:sz w:val="20"/>
          <w:szCs w:val="20"/>
        </w:rPr>
        <w:t>, therefore,</w:t>
      </w:r>
      <w:r w:rsidRPr="006D7B25">
        <w:rPr>
          <w:sz w:val="20"/>
          <w:szCs w:val="20"/>
        </w:rPr>
        <w:t xml:space="preserve"> </w:t>
      </w:r>
      <w:r w:rsidR="007251A3" w:rsidRPr="006D7B25">
        <w:rPr>
          <w:sz w:val="20"/>
          <w:szCs w:val="20"/>
        </w:rPr>
        <w:t xml:space="preserve">asserted </w:t>
      </w:r>
      <w:r w:rsidRPr="006D7B25">
        <w:rPr>
          <w:sz w:val="20"/>
          <w:szCs w:val="20"/>
        </w:rPr>
        <w:t xml:space="preserve">that </w:t>
      </w:r>
      <w:r w:rsidRPr="00A60BF1">
        <w:rPr>
          <w:i/>
          <w:sz w:val="20"/>
          <w:szCs w:val="20"/>
        </w:rPr>
        <w:t xml:space="preserve">despite the wide acceptance and enthusiasm for </w:t>
      </w:r>
      <w:r w:rsidR="00DA27AB" w:rsidRPr="00A60BF1">
        <w:rPr>
          <w:i/>
          <w:sz w:val="20"/>
          <w:szCs w:val="20"/>
        </w:rPr>
        <w:t>OG</w:t>
      </w:r>
      <w:r w:rsidRPr="00A60BF1">
        <w:rPr>
          <w:i/>
          <w:sz w:val="20"/>
          <w:szCs w:val="20"/>
        </w:rPr>
        <w:t xml:space="preserve"> and </w:t>
      </w:r>
      <w:r w:rsidR="00DA27AB" w:rsidRPr="00A60BF1">
        <w:rPr>
          <w:i/>
          <w:sz w:val="20"/>
          <w:szCs w:val="20"/>
        </w:rPr>
        <w:t>OG</w:t>
      </w:r>
      <w:r w:rsidRPr="00A60BF1">
        <w:rPr>
          <w:i/>
          <w:sz w:val="20"/>
          <w:szCs w:val="20"/>
        </w:rPr>
        <w:t>-based programs, not all studies reported them to be superior, and caution should be taken when attempting to generalize any of the reviewed results</w:t>
      </w:r>
      <w:r w:rsidRPr="006D7B25">
        <w:rPr>
          <w:sz w:val="20"/>
          <w:szCs w:val="20"/>
        </w:rPr>
        <w:t xml:space="preserve"> (p. 181).</w:t>
      </w:r>
      <w:r w:rsidR="00CF698E" w:rsidRPr="006D7B25">
        <w:rPr>
          <w:sz w:val="20"/>
          <w:szCs w:val="20"/>
        </w:rPr>
        <w:t xml:space="preserve"> </w:t>
      </w:r>
    </w:p>
    <w:p w:rsidR="00F542D9" w:rsidRDefault="00F542D9" w:rsidP="00F542D9">
      <w:pPr>
        <w:pStyle w:val="08BodyText"/>
        <w:spacing w:line="240" w:lineRule="auto"/>
        <w:ind w:firstLine="0"/>
        <w:jc w:val="both"/>
        <w:rPr>
          <w:color w:val="000000"/>
          <w:sz w:val="20"/>
        </w:rPr>
      </w:pPr>
    </w:p>
    <w:p w:rsidR="00AF22A4" w:rsidRDefault="00AF22A4" w:rsidP="00F542D9">
      <w:pPr>
        <w:pStyle w:val="08BodyText"/>
        <w:spacing w:line="240" w:lineRule="auto"/>
        <w:ind w:firstLine="0"/>
        <w:jc w:val="both"/>
        <w:rPr>
          <w:sz w:val="20"/>
        </w:rPr>
      </w:pPr>
      <w:r w:rsidRPr="006D7B25">
        <w:rPr>
          <w:color w:val="000000"/>
          <w:sz w:val="20"/>
        </w:rPr>
        <w:t>While researchers have shown that literacy intervention with struggling readers is effective in facilitating their acquisition of basic reading and writing skills (</w:t>
      </w:r>
      <w:r w:rsidRPr="006D7B25">
        <w:rPr>
          <w:sz w:val="20"/>
        </w:rPr>
        <w:t xml:space="preserve">Brooks &amp; Weeks, 1998; </w:t>
      </w:r>
      <w:r w:rsidRPr="006D7B25">
        <w:rPr>
          <w:color w:val="000000"/>
          <w:sz w:val="20"/>
        </w:rPr>
        <w:t xml:space="preserve">Curtis, 2002; Gaskins, Cuncelli, &amp; Satlow, 1992; </w:t>
      </w:r>
      <w:r w:rsidRPr="006D7B25">
        <w:rPr>
          <w:sz w:val="20"/>
        </w:rPr>
        <w:t xml:space="preserve">Guyer &amp; Sabatino, 1989; </w:t>
      </w:r>
      <w:r w:rsidRPr="006D7B25">
        <w:rPr>
          <w:color w:val="000000"/>
          <w:sz w:val="20"/>
        </w:rPr>
        <w:t>Lenz &amp; Hughes, 1990; Lovett &amp; Steinbach, 1997; McCandliss, Beck, Sendak, &amp; Perfetti, 2003), a wider base of empirical evidence is needed to evaluate the effectiveness of specific instructional programs designed for a wide range of struggling readers (Haslum, 2007; O’Connor &amp; Bell, 2006; Ritchey &amp; Goeke, 2006)</w:t>
      </w:r>
      <w:r w:rsidR="006F6C44" w:rsidRPr="006D7B25">
        <w:rPr>
          <w:color w:val="000000"/>
          <w:sz w:val="20"/>
        </w:rPr>
        <w:t xml:space="preserve">. It is especially important to evaluate </w:t>
      </w:r>
      <w:r w:rsidRPr="006D7B25">
        <w:rPr>
          <w:color w:val="000000"/>
          <w:sz w:val="20"/>
        </w:rPr>
        <w:t xml:space="preserve">commercial programs that require a substantial financial investment for both training instructors and purchasing materials (Rose &amp; Zirkel, 2007; Torgesen et al. 2001).  </w:t>
      </w:r>
      <w:r w:rsidRPr="006D7B25">
        <w:rPr>
          <w:sz w:val="20"/>
        </w:rPr>
        <w:t xml:space="preserve">The purpose of this study was to explore the effectiveness of an O-G-based system that was used as a supplemental reading instruction program for increasing the lower-level reading skills of a group of adolescents with persistent reading problems.  </w:t>
      </w:r>
    </w:p>
    <w:p w:rsidR="00F542D9" w:rsidRDefault="00F542D9" w:rsidP="00F542D9">
      <w:pPr>
        <w:pStyle w:val="08BodyText"/>
        <w:spacing w:line="240" w:lineRule="auto"/>
        <w:ind w:firstLine="0"/>
        <w:jc w:val="both"/>
        <w:rPr>
          <w:sz w:val="20"/>
        </w:rPr>
      </w:pPr>
    </w:p>
    <w:p w:rsidR="00570B16" w:rsidRPr="006D7B25" w:rsidRDefault="00570B16" w:rsidP="00F542D9">
      <w:pPr>
        <w:pStyle w:val="08BodyText"/>
        <w:spacing w:line="240" w:lineRule="auto"/>
        <w:ind w:firstLine="0"/>
        <w:jc w:val="both"/>
        <w:rPr>
          <w:b/>
          <w:sz w:val="20"/>
        </w:rPr>
      </w:pPr>
      <w:r w:rsidRPr="006D7B25">
        <w:rPr>
          <w:b/>
          <w:sz w:val="20"/>
        </w:rPr>
        <w:t>Method</w:t>
      </w:r>
    </w:p>
    <w:p w:rsidR="00570B16" w:rsidRPr="00A25374" w:rsidRDefault="00570B16" w:rsidP="006D7B25">
      <w:pPr>
        <w:pStyle w:val="02First-LevelSubheadingBOLD"/>
        <w:tabs>
          <w:tab w:val="left" w:pos="7065"/>
        </w:tabs>
        <w:spacing w:after="0"/>
        <w:jc w:val="both"/>
        <w:rPr>
          <w:b w:val="0"/>
          <w:i/>
          <w:sz w:val="20"/>
          <w:szCs w:val="20"/>
        </w:rPr>
      </w:pPr>
      <w:bookmarkStart w:id="0" w:name="_Toc101595308"/>
      <w:r w:rsidRPr="00A25374">
        <w:rPr>
          <w:b w:val="0"/>
          <w:i/>
          <w:sz w:val="20"/>
          <w:szCs w:val="20"/>
        </w:rPr>
        <w:t xml:space="preserve">Participants  </w:t>
      </w:r>
      <w:r w:rsidRPr="00A25374">
        <w:rPr>
          <w:b w:val="0"/>
          <w:i/>
          <w:sz w:val="20"/>
          <w:szCs w:val="20"/>
        </w:rPr>
        <w:tab/>
      </w:r>
    </w:p>
    <w:p w:rsidR="005B4215" w:rsidRPr="006D7B25" w:rsidRDefault="00570B16" w:rsidP="00F542D9">
      <w:pPr>
        <w:jc w:val="both"/>
        <w:rPr>
          <w:sz w:val="20"/>
          <w:szCs w:val="20"/>
        </w:rPr>
      </w:pPr>
      <w:r w:rsidRPr="006D7B25">
        <w:rPr>
          <w:sz w:val="20"/>
          <w:szCs w:val="20"/>
        </w:rPr>
        <w:t>Nine students</w:t>
      </w:r>
      <w:r w:rsidR="00D06FF0" w:rsidRPr="006D7B25">
        <w:rPr>
          <w:sz w:val="20"/>
          <w:szCs w:val="20"/>
        </w:rPr>
        <w:t xml:space="preserve"> who attended a charter school for adolescents with reading-based academic difficulties</w:t>
      </w:r>
      <w:r w:rsidRPr="006D7B25">
        <w:rPr>
          <w:sz w:val="20"/>
          <w:szCs w:val="20"/>
        </w:rPr>
        <w:t xml:space="preserve"> participated in the </w:t>
      </w:r>
      <w:r w:rsidR="00B11003" w:rsidRPr="006D7B25">
        <w:rPr>
          <w:sz w:val="20"/>
          <w:szCs w:val="20"/>
        </w:rPr>
        <w:t>study</w:t>
      </w:r>
      <w:r w:rsidR="00D06FF0" w:rsidRPr="006D7B25">
        <w:rPr>
          <w:sz w:val="20"/>
          <w:szCs w:val="20"/>
        </w:rPr>
        <w:t xml:space="preserve">. </w:t>
      </w:r>
      <w:r w:rsidR="00C3376E" w:rsidRPr="006D7B25">
        <w:rPr>
          <w:sz w:val="20"/>
          <w:szCs w:val="20"/>
        </w:rPr>
        <w:t xml:space="preserve">In the United States, charter schools are public schools of choice that operate under a performance contract, or </w:t>
      </w:r>
      <w:r w:rsidR="00C3376E" w:rsidRPr="00A60BF1">
        <w:rPr>
          <w:i/>
          <w:sz w:val="20"/>
          <w:szCs w:val="20"/>
        </w:rPr>
        <w:t>charter</w:t>
      </w:r>
      <w:r w:rsidR="00C3376E" w:rsidRPr="006D7B25">
        <w:rPr>
          <w:sz w:val="20"/>
          <w:szCs w:val="20"/>
        </w:rPr>
        <w:t xml:space="preserve">. </w:t>
      </w:r>
      <w:r w:rsidR="00242004" w:rsidRPr="006D7B25">
        <w:rPr>
          <w:sz w:val="20"/>
          <w:szCs w:val="20"/>
        </w:rPr>
        <w:t xml:space="preserve"> They </w:t>
      </w:r>
      <w:r w:rsidR="00C3376E" w:rsidRPr="006D7B25">
        <w:rPr>
          <w:sz w:val="20"/>
          <w:szCs w:val="20"/>
        </w:rPr>
        <w:t>are free from many regulations that traditional public schools</w:t>
      </w:r>
      <w:r w:rsidR="00242004" w:rsidRPr="006D7B25">
        <w:rPr>
          <w:sz w:val="20"/>
          <w:szCs w:val="20"/>
        </w:rPr>
        <w:t xml:space="preserve"> are required to comply with </w:t>
      </w:r>
      <w:r w:rsidR="007F416A" w:rsidRPr="006D7B25">
        <w:rPr>
          <w:sz w:val="20"/>
          <w:szCs w:val="20"/>
        </w:rPr>
        <w:t xml:space="preserve">(e.g., </w:t>
      </w:r>
      <w:r w:rsidR="0092563F" w:rsidRPr="006D7B25">
        <w:rPr>
          <w:sz w:val="20"/>
          <w:szCs w:val="20"/>
        </w:rPr>
        <w:t>in Florida, charter schools are generally exempt from the K-20 Education Code, except for statues pertaining to students with disabilities)</w:t>
      </w:r>
      <w:r w:rsidR="00252BAD" w:rsidRPr="006D7B25">
        <w:rPr>
          <w:sz w:val="20"/>
          <w:szCs w:val="20"/>
        </w:rPr>
        <w:t>,</w:t>
      </w:r>
      <w:r w:rsidR="00C3376E" w:rsidRPr="006D7B25">
        <w:rPr>
          <w:sz w:val="20"/>
          <w:szCs w:val="20"/>
        </w:rPr>
        <w:t xml:space="preserve"> but </w:t>
      </w:r>
      <w:r w:rsidR="005B4215" w:rsidRPr="006D7B25">
        <w:rPr>
          <w:sz w:val="20"/>
          <w:szCs w:val="20"/>
        </w:rPr>
        <w:t xml:space="preserve">they </w:t>
      </w:r>
      <w:r w:rsidR="00C3376E" w:rsidRPr="006D7B25">
        <w:rPr>
          <w:sz w:val="20"/>
          <w:szCs w:val="20"/>
        </w:rPr>
        <w:t xml:space="preserve">are held accountable </w:t>
      </w:r>
      <w:r w:rsidR="005B4215" w:rsidRPr="006D7B25">
        <w:rPr>
          <w:sz w:val="20"/>
          <w:szCs w:val="20"/>
        </w:rPr>
        <w:t xml:space="preserve">to </w:t>
      </w:r>
      <w:r w:rsidR="00C3376E" w:rsidRPr="006D7B25">
        <w:rPr>
          <w:sz w:val="20"/>
          <w:szCs w:val="20"/>
        </w:rPr>
        <w:t>performance and financial standards</w:t>
      </w:r>
      <w:r w:rsidR="00122B9A" w:rsidRPr="006D7B25">
        <w:rPr>
          <w:sz w:val="20"/>
          <w:szCs w:val="20"/>
        </w:rPr>
        <w:t xml:space="preserve"> </w:t>
      </w:r>
      <w:r w:rsidR="00982AAB" w:rsidRPr="006D7B25">
        <w:rPr>
          <w:sz w:val="20"/>
          <w:szCs w:val="20"/>
        </w:rPr>
        <w:t>agreed upon in the charter</w:t>
      </w:r>
      <w:r w:rsidR="008D6339" w:rsidRPr="006D7B25">
        <w:rPr>
          <w:sz w:val="20"/>
          <w:szCs w:val="20"/>
        </w:rPr>
        <w:t xml:space="preserve"> (Florida Department of Education, 2005)</w:t>
      </w:r>
      <w:r w:rsidR="00C3376E" w:rsidRPr="006D7B25">
        <w:rPr>
          <w:sz w:val="20"/>
          <w:szCs w:val="20"/>
        </w:rPr>
        <w:t xml:space="preserve">. </w:t>
      </w:r>
    </w:p>
    <w:p w:rsidR="00F542D9" w:rsidRDefault="00F542D9" w:rsidP="00F542D9">
      <w:pPr>
        <w:jc w:val="both"/>
        <w:rPr>
          <w:sz w:val="20"/>
          <w:szCs w:val="20"/>
        </w:rPr>
      </w:pPr>
    </w:p>
    <w:p w:rsidR="000A46A2" w:rsidRPr="006D7B25" w:rsidRDefault="00154131" w:rsidP="00F542D9">
      <w:pPr>
        <w:jc w:val="both"/>
        <w:rPr>
          <w:sz w:val="20"/>
          <w:szCs w:val="20"/>
        </w:rPr>
      </w:pPr>
      <w:r w:rsidRPr="006D7B25">
        <w:rPr>
          <w:sz w:val="20"/>
          <w:szCs w:val="20"/>
        </w:rPr>
        <w:t xml:space="preserve">While charter schools are open to all students residing in a </w:t>
      </w:r>
      <w:r w:rsidR="005B4215" w:rsidRPr="006D7B25">
        <w:rPr>
          <w:sz w:val="20"/>
          <w:szCs w:val="20"/>
        </w:rPr>
        <w:t xml:space="preserve">school </w:t>
      </w:r>
      <w:r w:rsidRPr="006D7B25">
        <w:rPr>
          <w:sz w:val="20"/>
          <w:szCs w:val="20"/>
        </w:rPr>
        <w:t xml:space="preserve">district, they are allowed to target enrollment to </w:t>
      </w:r>
      <w:r w:rsidR="005B4215" w:rsidRPr="006D7B25">
        <w:rPr>
          <w:sz w:val="20"/>
          <w:szCs w:val="20"/>
        </w:rPr>
        <w:t xml:space="preserve">specific </w:t>
      </w:r>
      <w:r w:rsidR="008D6339" w:rsidRPr="006D7B25">
        <w:rPr>
          <w:sz w:val="20"/>
          <w:szCs w:val="20"/>
        </w:rPr>
        <w:t>populations</w:t>
      </w:r>
      <w:r w:rsidR="00D2750F" w:rsidRPr="006D7B25">
        <w:rPr>
          <w:sz w:val="20"/>
          <w:szCs w:val="20"/>
        </w:rPr>
        <w:t xml:space="preserve"> (Florida Department of Education, 2005), </w:t>
      </w:r>
      <w:r w:rsidR="008D6339" w:rsidRPr="006D7B25">
        <w:rPr>
          <w:sz w:val="20"/>
          <w:szCs w:val="20"/>
        </w:rPr>
        <w:t xml:space="preserve">such as </w:t>
      </w:r>
      <w:r w:rsidRPr="006D7B25">
        <w:rPr>
          <w:sz w:val="20"/>
          <w:szCs w:val="20"/>
        </w:rPr>
        <w:t>students</w:t>
      </w:r>
      <w:r w:rsidR="005B4215" w:rsidRPr="006D7B25">
        <w:rPr>
          <w:sz w:val="20"/>
          <w:szCs w:val="20"/>
        </w:rPr>
        <w:t xml:space="preserve"> </w:t>
      </w:r>
      <w:r w:rsidR="008D6339" w:rsidRPr="006D7B25">
        <w:rPr>
          <w:sz w:val="20"/>
          <w:szCs w:val="20"/>
        </w:rPr>
        <w:t xml:space="preserve">with persistent reading problems </w:t>
      </w:r>
      <w:r w:rsidR="00D2750F" w:rsidRPr="006D7B25">
        <w:rPr>
          <w:sz w:val="20"/>
          <w:szCs w:val="20"/>
        </w:rPr>
        <w:t xml:space="preserve">as it was the </w:t>
      </w:r>
      <w:r w:rsidRPr="006D7B25">
        <w:rPr>
          <w:sz w:val="20"/>
          <w:szCs w:val="20"/>
        </w:rPr>
        <w:t xml:space="preserve">case </w:t>
      </w:r>
      <w:r w:rsidR="00D2750F" w:rsidRPr="006D7B25">
        <w:rPr>
          <w:sz w:val="20"/>
          <w:szCs w:val="20"/>
        </w:rPr>
        <w:t xml:space="preserve">in </w:t>
      </w:r>
      <w:r w:rsidR="003576E8" w:rsidRPr="006D7B25">
        <w:rPr>
          <w:sz w:val="20"/>
          <w:szCs w:val="20"/>
        </w:rPr>
        <w:t xml:space="preserve">this </w:t>
      </w:r>
      <w:r w:rsidR="00D2750F" w:rsidRPr="006D7B25">
        <w:rPr>
          <w:sz w:val="20"/>
          <w:szCs w:val="20"/>
        </w:rPr>
        <w:t xml:space="preserve">study.  </w:t>
      </w:r>
      <w:r w:rsidR="003E558E" w:rsidRPr="006D7B25">
        <w:rPr>
          <w:sz w:val="20"/>
          <w:szCs w:val="20"/>
        </w:rPr>
        <w:t>T</w:t>
      </w:r>
      <w:r w:rsidR="00A17E49" w:rsidRPr="006D7B25">
        <w:rPr>
          <w:sz w:val="20"/>
          <w:szCs w:val="20"/>
        </w:rPr>
        <w:t>he intervention</w:t>
      </w:r>
      <w:r w:rsidR="003E558E" w:rsidRPr="006D7B25">
        <w:rPr>
          <w:sz w:val="20"/>
          <w:szCs w:val="20"/>
        </w:rPr>
        <w:t xml:space="preserve"> </w:t>
      </w:r>
      <w:r w:rsidR="00A17E49" w:rsidRPr="006D7B25">
        <w:rPr>
          <w:sz w:val="20"/>
          <w:szCs w:val="20"/>
        </w:rPr>
        <w:t xml:space="preserve">provided </w:t>
      </w:r>
      <w:r w:rsidR="003E558E" w:rsidRPr="006D7B25">
        <w:rPr>
          <w:sz w:val="20"/>
          <w:szCs w:val="20"/>
        </w:rPr>
        <w:t xml:space="preserve">here </w:t>
      </w:r>
      <w:r w:rsidR="00A17E49" w:rsidRPr="006D7B25">
        <w:rPr>
          <w:sz w:val="20"/>
          <w:szCs w:val="20"/>
        </w:rPr>
        <w:t xml:space="preserve">was </w:t>
      </w:r>
      <w:r w:rsidR="00ED1577" w:rsidRPr="006D7B25">
        <w:rPr>
          <w:sz w:val="20"/>
          <w:szCs w:val="20"/>
        </w:rPr>
        <w:t xml:space="preserve">supplemental </w:t>
      </w:r>
      <w:r w:rsidR="003E558E" w:rsidRPr="006D7B25">
        <w:rPr>
          <w:sz w:val="20"/>
          <w:szCs w:val="20"/>
        </w:rPr>
        <w:t>to the specialized services th</w:t>
      </w:r>
      <w:r w:rsidR="00ED1577" w:rsidRPr="006D7B25">
        <w:rPr>
          <w:sz w:val="20"/>
          <w:szCs w:val="20"/>
        </w:rPr>
        <w:t xml:space="preserve">at those students </w:t>
      </w:r>
      <w:r w:rsidR="003E558E" w:rsidRPr="006D7B25">
        <w:rPr>
          <w:sz w:val="20"/>
          <w:szCs w:val="20"/>
        </w:rPr>
        <w:t xml:space="preserve">were already receiving in the school.  </w:t>
      </w:r>
    </w:p>
    <w:p w:rsidR="00F542D9" w:rsidRDefault="00F542D9" w:rsidP="00F542D9">
      <w:pPr>
        <w:jc w:val="both"/>
        <w:rPr>
          <w:sz w:val="20"/>
          <w:szCs w:val="20"/>
        </w:rPr>
      </w:pPr>
    </w:p>
    <w:p w:rsidR="00B7589B" w:rsidRPr="006D7B25" w:rsidRDefault="00D06FF0" w:rsidP="00F542D9">
      <w:pPr>
        <w:jc w:val="both"/>
        <w:rPr>
          <w:color w:val="000000"/>
          <w:sz w:val="20"/>
          <w:szCs w:val="20"/>
        </w:rPr>
      </w:pPr>
      <w:r w:rsidRPr="006D7B25">
        <w:rPr>
          <w:sz w:val="20"/>
          <w:szCs w:val="20"/>
        </w:rPr>
        <w:t xml:space="preserve">Students were </w:t>
      </w:r>
      <w:r w:rsidR="00570B16" w:rsidRPr="006D7B25">
        <w:rPr>
          <w:sz w:val="20"/>
          <w:szCs w:val="20"/>
        </w:rPr>
        <w:t>selected from a pool of 30 students who were in the ninth to eleventh grades</w:t>
      </w:r>
      <w:r w:rsidR="00DA27AB" w:rsidRPr="006D7B25">
        <w:rPr>
          <w:sz w:val="20"/>
          <w:szCs w:val="20"/>
        </w:rPr>
        <w:t>.</w:t>
      </w:r>
      <w:r w:rsidR="00570B16" w:rsidRPr="006D7B25">
        <w:rPr>
          <w:sz w:val="20"/>
          <w:szCs w:val="20"/>
        </w:rPr>
        <w:t xml:space="preserve"> The charter school was located in a small rural town in central Florida but drew students from the more populated surrounding areas.</w:t>
      </w:r>
      <w:r w:rsidR="00C3376E" w:rsidRPr="006D7B25">
        <w:rPr>
          <w:sz w:val="20"/>
          <w:szCs w:val="20"/>
        </w:rPr>
        <w:t xml:space="preserve"> </w:t>
      </w:r>
      <w:r w:rsidR="00570B16" w:rsidRPr="006D7B25">
        <w:rPr>
          <w:sz w:val="20"/>
          <w:szCs w:val="20"/>
        </w:rPr>
        <w:t>Parental consent to participate in the reading intervention program was received for 20 students</w:t>
      </w:r>
      <w:r w:rsidR="002A7777" w:rsidRPr="006D7B25">
        <w:rPr>
          <w:sz w:val="20"/>
          <w:szCs w:val="20"/>
        </w:rPr>
        <w:t xml:space="preserve">. Two </w:t>
      </w:r>
      <w:r w:rsidR="00570B16" w:rsidRPr="006D7B25">
        <w:rPr>
          <w:sz w:val="20"/>
          <w:szCs w:val="20"/>
        </w:rPr>
        <w:t xml:space="preserve">students dropped out of the study before </w:t>
      </w:r>
      <w:r w:rsidRPr="006D7B25">
        <w:rPr>
          <w:sz w:val="20"/>
          <w:szCs w:val="20"/>
        </w:rPr>
        <w:t>pre-</w:t>
      </w:r>
      <w:r w:rsidR="00570B16" w:rsidRPr="006D7B25">
        <w:rPr>
          <w:sz w:val="20"/>
          <w:szCs w:val="20"/>
        </w:rPr>
        <w:t>testing began because of schedule conflicts</w:t>
      </w:r>
      <w:r w:rsidR="002A7777" w:rsidRPr="006D7B25">
        <w:rPr>
          <w:sz w:val="20"/>
          <w:szCs w:val="20"/>
        </w:rPr>
        <w:t>; the remaining 18 students were assessed with a norm-referenced test battery to determine study eligibility</w:t>
      </w:r>
      <w:r w:rsidR="00570B16" w:rsidRPr="006D7B25">
        <w:rPr>
          <w:sz w:val="20"/>
          <w:szCs w:val="20"/>
        </w:rPr>
        <w:t xml:space="preserve">. </w:t>
      </w:r>
      <w:r w:rsidR="00570B16" w:rsidRPr="006D7B25">
        <w:rPr>
          <w:color w:val="000000"/>
          <w:sz w:val="20"/>
          <w:szCs w:val="20"/>
        </w:rPr>
        <w:t xml:space="preserve"> </w:t>
      </w:r>
      <w:r w:rsidR="00C97E5B" w:rsidRPr="006D7B25">
        <w:rPr>
          <w:color w:val="000000"/>
          <w:sz w:val="20"/>
          <w:szCs w:val="20"/>
        </w:rPr>
        <w:t xml:space="preserve">Nine of the 18 students met study inclusion criteria. </w:t>
      </w:r>
    </w:p>
    <w:p w:rsidR="00F542D9" w:rsidRDefault="00F542D9" w:rsidP="00F542D9">
      <w:pPr>
        <w:jc w:val="both"/>
        <w:rPr>
          <w:color w:val="000000"/>
          <w:sz w:val="20"/>
          <w:szCs w:val="20"/>
        </w:rPr>
      </w:pPr>
    </w:p>
    <w:p w:rsidR="00E729FE" w:rsidRPr="006D7B25" w:rsidRDefault="00570B16" w:rsidP="00F542D9">
      <w:pPr>
        <w:jc w:val="both"/>
        <w:rPr>
          <w:color w:val="000000"/>
          <w:sz w:val="20"/>
          <w:szCs w:val="20"/>
        </w:rPr>
      </w:pPr>
      <w:r w:rsidRPr="006D7B25">
        <w:rPr>
          <w:color w:val="000000"/>
          <w:sz w:val="20"/>
          <w:szCs w:val="20"/>
        </w:rPr>
        <w:t xml:space="preserve">All students were native English speakers and passed a pure tone hearing screening conducted by the first author.  </w:t>
      </w:r>
      <w:r w:rsidR="00A17E49" w:rsidRPr="006D7B25">
        <w:rPr>
          <w:color w:val="000000"/>
          <w:sz w:val="20"/>
          <w:szCs w:val="20"/>
        </w:rPr>
        <w:t>The students ranged in age from 15.2 years to 17.5 years of age</w:t>
      </w:r>
      <w:r w:rsidR="00483DE8" w:rsidRPr="006D7B25">
        <w:rPr>
          <w:color w:val="000000"/>
          <w:sz w:val="20"/>
          <w:szCs w:val="20"/>
        </w:rPr>
        <w:t>.</w:t>
      </w:r>
      <w:r w:rsidR="006D27BD" w:rsidRPr="006D7B25">
        <w:rPr>
          <w:color w:val="000000"/>
          <w:sz w:val="20"/>
          <w:szCs w:val="20"/>
        </w:rPr>
        <w:t xml:space="preserve">  T</w:t>
      </w:r>
      <w:r w:rsidR="00EF57B3" w:rsidRPr="006D7B25">
        <w:rPr>
          <w:color w:val="000000"/>
          <w:sz w:val="20"/>
          <w:szCs w:val="20"/>
        </w:rPr>
        <w:t>here were four males and five females</w:t>
      </w:r>
      <w:r w:rsidR="006D27BD" w:rsidRPr="006D7B25">
        <w:rPr>
          <w:color w:val="000000"/>
          <w:sz w:val="20"/>
          <w:szCs w:val="20"/>
        </w:rPr>
        <w:t>.  S</w:t>
      </w:r>
      <w:r w:rsidR="00EF57B3" w:rsidRPr="006D7B25">
        <w:rPr>
          <w:color w:val="000000"/>
          <w:sz w:val="20"/>
          <w:szCs w:val="20"/>
        </w:rPr>
        <w:t xml:space="preserve">even of the students were in grade 10 and two were in grade 11. </w:t>
      </w:r>
      <w:r w:rsidR="00B11003" w:rsidRPr="006D7B25">
        <w:rPr>
          <w:color w:val="000000"/>
          <w:sz w:val="20"/>
          <w:szCs w:val="20"/>
        </w:rPr>
        <w:t xml:space="preserve"> </w:t>
      </w:r>
      <w:r w:rsidR="00EF57B3" w:rsidRPr="006D7B25">
        <w:rPr>
          <w:color w:val="000000"/>
          <w:sz w:val="20"/>
          <w:szCs w:val="20"/>
        </w:rPr>
        <w:t xml:space="preserve">In terms of exceptional student eligibility </w:t>
      </w:r>
      <w:r w:rsidR="00803B13" w:rsidRPr="006D7B25">
        <w:rPr>
          <w:color w:val="000000"/>
          <w:sz w:val="20"/>
          <w:szCs w:val="20"/>
        </w:rPr>
        <w:t xml:space="preserve">(ESE) </w:t>
      </w:r>
      <w:r w:rsidR="00EF57B3" w:rsidRPr="006D7B25">
        <w:rPr>
          <w:color w:val="000000"/>
          <w:sz w:val="20"/>
          <w:szCs w:val="20"/>
        </w:rPr>
        <w:t xml:space="preserve">classification, </w:t>
      </w:r>
      <w:r w:rsidR="00803B13" w:rsidRPr="006D7B25">
        <w:rPr>
          <w:color w:val="000000"/>
          <w:sz w:val="20"/>
          <w:szCs w:val="20"/>
        </w:rPr>
        <w:t>five</w:t>
      </w:r>
      <w:r w:rsidR="00EF57B3" w:rsidRPr="006D7B25">
        <w:rPr>
          <w:color w:val="000000"/>
          <w:sz w:val="20"/>
          <w:szCs w:val="20"/>
        </w:rPr>
        <w:t xml:space="preserve"> students had a primary classification </w:t>
      </w:r>
      <w:r w:rsidR="00803B13" w:rsidRPr="006D7B25">
        <w:rPr>
          <w:color w:val="000000"/>
          <w:sz w:val="20"/>
          <w:szCs w:val="20"/>
        </w:rPr>
        <w:t xml:space="preserve">of specific learning disability (SLD), two had a primary classification of SLD with an additional exceptionality of speech-language impaired (SLI), one had a classification of other health impaired (OHI), and one had no classification. </w:t>
      </w:r>
    </w:p>
    <w:p w:rsidR="00F542D9" w:rsidRDefault="00F542D9" w:rsidP="00F542D9">
      <w:pPr>
        <w:jc w:val="both"/>
        <w:rPr>
          <w:sz w:val="20"/>
          <w:szCs w:val="20"/>
        </w:rPr>
      </w:pPr>
    </w:p>
    <w:p w:rsidR="00570B16" w:rsidRPr="006D7B25" w:rsidRDefault="00570B16" w:rsidP="00F542D9">
      <w:pPr>
        <w:jc w:val="both"/>
        <w:rPr>
          <w:sz w:val="20"/>
          <w:szCs w:val="20"/>
        </w:rPr>
      </w:pPr>
      <w:r w:rsidRPr="006D7B25">
        <w:rPr>
          <w:sz w:val="20"/>
          <w:szCs w:val="20"/>
        </w:rPr>
        <w:t xml:space="preserve">Spoken and written language difficulties, as a condition of being admitted to the charter school, were not verified prior to the study with formal or norm-referenced testing.  Rather, these difficulties were </w:t>
      </w:r>
      <w:r w:rsidR="008D28AE" w:rsidRPr="006D7B25">
        <w:rPr>
          <w:sz w:val="20"/>
          <w:szCs w:val="20"/>
        </w:rPr>
        <w:t>known</w:t>
      </w:r>
      <w:r w:rsidRPr="006D7B25">
        <w:rPr>
          <w:sz w:val="20"/>
          <w:szCs w:val="20"/>
        </w:rPr>
        <w:t xml:space="preserve"> to exist given th</w:t>
      </w:r>
      <w:r w:rsidR="00B804E4" w:rsidRPr="006D7B25">
        <w:rPr>
          <w:sz w:val="20"/>
          <w:szCs w:val="20"/>
        </w:rPr>
        <w:t xml:space="preserve">e mission of the charter school or </w:t>
      </w:r>
      <w:r w:rsidR="008D28AE" w:rsidRPr="006D7B25">
        <w:rPr>
          <w:sz w:val="20"/>
          <w:szCs w:val="20"/>
        </w:rPr>
        <w:t xml:space="preserve">were independently </w:t>
      </w:r>
      <w:r w:rsidR="00B804E4" w:rsidRPr="006D7B25">
        <w:rPr>
          <w:sz w:val="20"/>
          <w:szCs w:val="20"/>
        </w:rPr>
        <w:t>verified through</w:t>
      </w:r>
      <w:r w:rsidRPr="006D7B25">
        <w:rPr>
          <w:sz w:val="20"/>
          <w:szCs w:val="20"/>
        </w:rPr>
        <w:t xml:space="preserve"> review of </w:t>
      </w:r>
      <w:r w:rsidR="00B804E4" w:rsidRPr="006D7B25">
        <w:rPr>
          <w:sz w:val="20"/>
          <w:szCs w:val="20"/>
        </w:rPr>
        <w:t>student educational records and background information.</w:t>
      </w:r>
      <w:r w:rsidR="008D28AE" w:rsidRPr="006D7B25">
        <w:rPr>
          <w:sz w:val="20"/>
          <w:szCs w:val="20"/>
        </w:rPr>
        <w:t xml:space="preserve"> Gender, grade, age, and special education classifications are listed in Table 1. </w:t>
      </w:r>
      <w:r w:rsidR="00B804E4" w:rsidRPr="006D7B25">
        <w:rPr>
          <w:sz w:val="20"/>
          <w:szCs w:val="20"/>
        </w:rPr>
        <w:t xml:space="preserve"> </w:t>
      </w:r>
      <w:r w:rsidRPr="006D7B25">
        <w:rPr>
          <w:sz w:val="20"/>
          <w:szCs w:val="20"/>
        </w:rPr>
        <w:t xml:space="preserve">Subtests from the </w:t>
      </w:r>
      <w:r w:rsidRPr="006D7B25">
        <w:rPr>
          <w:i/>
          <w:sz w:val="20"/>
          <w:szCs w:val="20"/>
        </w:rPr>
        <w:t>Woodcock-Johnson III Tests of Achievement</w:t>
      </w:r>
      <w:r w:rsidRPr="006D7B25">
        <w:rPr>
          <w:sz w:val="20"/>
          <w:szCs w:val="20"/>
        </w:rPr>
        <w:t xml:space="preserve"> (WJ III ACH</w:t>
      </w:r>
      <w:r w:rsidR="005D5E53" w:rsidRPr="006D7B25">
        <w:rPr>
          <w:sz w:val="20"/>
          <w:szCs w:val="20"/>
        </w:rPr>
        <w:t xml:space="preserve">; </w:t>
      </w:r>
      <w:r w:rsidRPr="006D7B25">
        <w:rPr>
          <w:sz w:val="20"/>
          <w:szCs w:val="20"/>
        </w:rPr>
        <w:t xml:space="preserve">Woodcock, McGrew, &amp; Mather, 2001) were used to determine student eligibility. </w:t>
      </w:r>
      <w:r w:rsidR="00502D00" w:rsidRPr="006D7B25">
        <w:rPr>
          <w:sz w:val="20"/>
          <w:szCs w:val="20"/>
        </w:rPr>
        <w:t xml:space="preserve">The students </w:t>
      </w:r>
      <w:r w:rsidRPr="006D7B25">
        <w:rPr>
          <w:sz w:val="20"/>
          <w:szCs w:val="20"/>
        </w:rPr>
        <w:t xml:space="preserve">were required to demonstrate below average ability in single word spelling, single word reading, or nonword decoding as determined by scores of at least one standard deviation below the mean score of 100 (i.e., standard score of </w:t>
      </w:r>
      <w:r w:rsidRPr="006D7B25">
        <w:rPr>
          <w:sz w:val="20"/>
          <w:szCs w:val="20"/>
          <w:u w:val="single"/>
        </w:rPr>
        <w:t xml:space="preserve">&lt; </w:t>
      </w:r>
      <w:r w:rsidR="003875C9" w:rsidRPr="006D7B25">
        <w:rPr>
          <w:sz w:val="20"/>
          <w:szCs w:val="20"/>
        </w:rPr>
        <w:t>85</w:t>
      </w:r>
      <w:r w:rsidRPr="006D7B25">
        <w:rPr>
          <w:sz w:val="20"/>
          <w:szCs w:val="20"/>
        </w:rPr>
        <w:t>) on at least two basic reading skills from the WJ III ACH. These same subtests were used to measure post-training abilities.  Twelve students qualified for the treatment based on this criterion</w:t>
      </w:r>
      <w:r w:rsidR="00476083" w:rsidRPr="006D7B25">
        <w:rPr>
          <w:sz w:val="20"/>
          <w:szCs w:val="20"/>
        </w:rPr>
        <w:t>,</w:t>
      </w:r>
      <w:r w:rsidRPr="006D7B25">
        <w:rPr>
          <w:sz w:val="20"/>
          <w:szCs w:val="20"/>
        </w:rPr>
        <w:t xml:space="preserve"> but three could not participate due to schedule conflicts</w:t>
      </w:r>
      <w:r w:rsidR="00542494" w:rsidRPr="006D7B25">
        <w:rPr>
          <w:sz w:val="20"/>
          <w:szCs w:val="20"/>
        </w:rPr>
        <w:t xml:space="preserve">. Thus, </w:t>
      </w:r>
      <w:r w:rsidR="00476083" w:rsidRPr="006D7B25">
        <w:rPr>
          <w:sz w:val="20"/>
          <w:szCs w:val="20"/>
        </w:rPr>
        <w:t xml:space="preserve">there were </w:t>
      </w:r>
      <w:r w:rsidR="00542494" w:rsidRPr="006D7B25">
        <w:rPr>
          <w:sz w:val="20"/>
          <w:szCs w:val="20"/>
        </w:rPr>
        <w:t>nine students</w:t>
      </w:r>
      <w:r w:rsidR="00476083" w:rsidRPr="006D7B25">
        <w:rPr>
          <w:sz w:val="20"/>
          <w:szCs w:val="20"/>
        </w:rPr>
        <w:t xml:space="preserve"> who participated in this study</w:t>
      </w:r>
      <w:r w:rsidR="00542494" w:rsidRPr="006D7B25">
        <w:rPr>
          <w:sz w:val="20"/>
          <w:szCs w:val="20"/>
        </w:rPr>
        <w:t xml:space="preserve">. </w:t>
      </w:r>
      <w:r w:rsidRPr="006D7B25">
        <w:rPr>
          <w:sz w:val="20"/>
          <w:szCs w:val="20"/>
        </w:rPr>
        <w:t xml:space="preserve"> </w:t>
      </w:r>
    </w:p>
    <w:p w:rsidR="00F542D9" w:rsidRDefault="00F542D9" w:rsidP="00F542D9">
      <w:pPr>
        <w:pStyle w:val="08BodyText"/>
        <w:spacing w:line="240" w:lineRule="auto"/>
        <w:ind w:firstLine="0"/>
        <w:jc w:val="both"/>
        <w:rPr>
          <w:sz w:val="20"/>
        </w:rPr>
      </w:pPr>
    </w:p>
    <w:p w:rsidR="00570B16" w:rsidRPr="006D7B25" w:rsidRDefault="00570B16" w:rsidP="00F542D9">
      <w:pPr>
        <w:pStyle w:val="08BodyText"/>
        <w:spacing w:line="240" w:lineRule="auto"/>
        <w:ind w:firstLine="0"/>
        <w:jc w:val="both"/>
        <w:rPr>
          <w:sz w:val="20"/>
        </w:rPr>
      </w:pPr>
      <w:r w:rsidRPr="006D7B25">
        <w:rPr>
          <w:sz w:val="20"/>
        </w:rPr>
        <w:t>The</w:t>
      </w:r>
      <w:r w:rsidRPr="006D7B25">
        <w:rPr>
          <w:i/>
          <w:sz w:val="20"/>
        </w:rPr>
        <w:t xml:space="preserve"> Test of Word Reading Efficiency</w:t>
      </w:r>
      <w:r w:rsidRPr="006D7B25">
        <w:rPr>
          <w:sz w:val="20"/>
        </w:rPr>
        <w:t xml:space="preserve"> (TOWRE; Torgesen, Wagner, &amp; Rashotte, 1999) was given pre- and post-training to measure the students’ sight word and phonemic decoding accuracy and fluency in timed conditions, but this test was not used to qualify students for participation in the study.  </w:t>
      </w:r>
      <w:r w:rsidR="00502D00" w:rsidRPr="006D7B25">
        <w:rPr>
          <w:sz w:val="20"/>
        </w:rPr>
        <w:t xml:space="preserve">The students </w:t>
      </w:r>
      <w:r w:rsidRPr="006D7B25">
        <w:rPr>
          <w:sz w:val="20"/>
        </w:rPr>
        <w:t xml:space="preserve">were also required to pass the </w:t>
      </w:r>
      <w:r w:rsidRPr="006D7B25">
        <w:rPr>
          <w:i/>
          <w:sz w:val="20"/>
        </w:rPr>
        <w:t>Barton Student Screening</w:t>
      </w:r>
      <w:r w:rsidR="00502D00" w:rsidRPr="006D7B25">
        <w:rPr>
          <w:i/>
          <w:sz w:val="20"/>
        </w:rPr>
        <w:t xml:space="preserve"> </w:t>
      </w:r>
      <w:r w:rsidRPr="006D7B25">
        <w:rPr>
          <w:sz w:val="20"/>
        </w:rPr>
        <w:t xml:space="preserve">before participating in this study.  </w:t>
      </w:r>
    </w:p>
    <w:p w:rsidR="00D50AD8" w:rsidRDefault="00D50AD8" w:rsidP="00D50AD8">
      <w:pPr>
        <w:ind w:left="720" w:hanging="720"/>
        <w:jc w:val="center"/>
        <w:rPr>
          <w:rFonts w:eastAsia="Times New Roman"/>
          <w:b/>
          <w:sz w:val="20"/>
          <w:szCs w:val="20"/>
        </w:rPr>
      </w:pPr>
    </w:p>
    <w:p w:rsidR="00DD71B3" w:rsidRPr="00D50AD8" w:rsidRDefault="00D50AD8" w:rsidP="00D50AD8">
      <w:pPr>
        <w:ind w:left="720" w:hanging="720"/>
        <w:jc w:val="center"/>
        <w:rPr>
          <w:rFonts w:eastAsia="Times New Roman"/>
          <w:b/>
          <w:sz w:val="20"/>
          <w:szCs w:val="20"/>
        </w:rPr>
      </w:pPr>
      <w:r>
        <w:rPr>
          <w:rFonts w:eastAsia="Times New Roman"/>
          <w:b/>
          <w:sz w:val="20"/>
          <w:szCs w:val="20"/>
        </w:rPr>
        <w:t xml:space="preserve">Table 1.  </w:t>
      </w:r>
      <w:r w:rsidR="00DD71B3" w:rsidRPr="00D50AD8">
        <w:rPr>
          <w:rFonts w:eastAsia="Times New Roman"/>
          <w:b/>
          <w:sz w:val="20"/>
          <w:szCs w:val="20"/>
        </w:rPr>
        <w:t xml:space="preserve">Reading-Intervention Group Characteristics </w:t>
      </w:r>
    </w:p>
    <w:tbl>
      <w:tblPr>
        <w:tblW w:w="8035" w:type="dxa"/>
        <w:tblLook w:val="01E0"/>
      </w:tblPr>
      <w:tblGrid>
        <w:gridCol w:w="1736"/>
        <w:gridCol w:w="763"/>
        <w:gridCol w:w="670"/>
        <w:gridCol w:w="736"/>
        <w:gridCol w:w="763"/>
        <w:gridCol w:w="643"/>
        <w:gridCol w:w="714"/>
        <w:gridCol w:w="670"/>
        <w:gridCol w:w="670"/>
        <w:gridCol w:w="670"/>
      </w:tblGrid>
      <w:tr w:rsidR="00DD71B3" w:rsidRPr="006D7B25" w:rsidTr="00D82C05">
        <w:tc>
          <w:tcPr>
            <w:tcW w:w="1736" w:type="dxa"/>
            <w:tcBorders>
              <w:top w:val="single" w:sz="4" w:space="0" w:color="auto"/>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Id. #</w:t>
            </w:r>
          </w:p>
        </w:tc>
        <w:tc>
          <w:tcPr>
            <w:tcW w:w="763" w:type="dxa"/>
            <w:tcBorders>
              <w:top w:val="single" w:sz="4" w:space="0" w:color="auto"/>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1</w:t>
            </w:r>
          </w:p>
        </w:tc>
        <w:tc>
          <w:tcPr>
            <w:tcW w:w="670" w:type="dxa"/>
            <w:tcBorders>
              <w:top w:val="single" w:sz="4" w:space="0" w:color="auto"/>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2</w:t>
            </w:r>
          </w:p>
        </w:tc>
        <w:tc>
          <w:tcPr>
            <w:tcW w:w="736" w:type="dxa"/>
            <w:tcBorders>
              <w:top w:val="single" w:sz="4" w:space="0" w:color="auto"/>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3</w:t>
            </w:r>
          </w:p>
        </w:tc>
        <w:tc>
          <w:tcPr>
            <w:tcW w:w="763" w:type="dxa"/>
            <w:tcBorders>
              <w:top w:val="single" w:sz="4" w:space="0" w:color="auto"/>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4</w:t>
            </w:r>
          </w:p>
        </w:tc>
        <w:tc>
          <w:tcPr>
            <w:tcW w:w="643" w:type="dxa"/>
            <w:tcBorders>
              <w:top w:val="single" w:sz="4" w:space="0" w:color="auto"/>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5</w:t>
            </w:r>
          </w:p>
        </w:tc>
        <w:tc>
          <w:tcPr>
            <w:tcW w:w="714" w:type="dxa"/>
            <w:tcBorders>
              <w:top w:val="single" w:sz="4" w:space="0" w:color="auto"/>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6</w:t>
            </w:r>
          </w:p>
        </w:tc>
        <w:tc>
          <w:tcPr>
            <w:tcW w:w="670" w:type="dxa"/>
            <w:tcBorders>
              <w:top w:val="single" w:sz="4" w:space="0" w:color="auto"/>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7</w:t>
            </w:r>
          </w:p>
        </w:tc>
        <w:tc>
          <w:tcPr>
            <w:tcW w:w="670" w:type="dxa"/>
            <w:tcBorders>
              <w:top w:val="single" w:sz="4" w:space="0" w:color="auto"/>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8</w:t>
            </w:r>
          </w:p>
        </w:tc>
        <w:tc>
          <w:tcPr>
            <w:tcW w:w="670" w:type="dxa"/>
            <w:tcBorders>
              <w:top w:val="single" w:sz="4" w:space="0" w:color="auto"/>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9</w:t>
            </w:r>
          </w:p>
        </w:tc>
      </w:tr>
      <w:tr w:rsidR="00DD71B3" w:rsidRPr="006D7B25" w:rsidTr="00D82C05">
        <w:tc>
          <w:tcPr>
            <w:tcW w:w="1736" w:type="dxa"/>
          </w:tcPr>
          <w:p w:rsidR="00DD71B3" w:rsidRPr="006D7B25" w:rsidRDefault="00DD71B3" w:rsidP="006D7B25">
            <w:pPr>
              <w:jc w:val="both"/>
              <w:rPr>
                <w:rFonts w:eastAsia="Times New Roman"/>
                <w:sz w:val="20"/>
                <w:szCs w:val="20"/>
              </w:rPr>
            </w:pPr>
            <w:r w:rsidRPr="006D7B25">
              <w:rPr>
                <w:rFonts w:eastAsia="Times New Roman"/>
                <w:sz w:val="20"/>
                <w:szCs w:val="20"/>
              </w:rPr>
              <w:t>Gender</w:t>
            </w:r>
          </w:p>
        </w:tc>
        <w:tc>
          <w:tcPr>
            <w:tcW w:w="763" w:type="dxa"/>
          </w:tcPr>
          <w:p w:rsidR="00DD71B3" w:rsidRPr="006D7B25" w:rsidRDefault="00DD71B3" w:rsidP="006D7B25">
            <w:pPr>
              <w:jc w:val="both"/>
              <w:rPr>
                <w:rFonts w:eastAsia="Times New Roman"/>
                <w:sz w:val="20"/>
                <w:szCs w:val="20"/>
              </w:rPr>
            </w:pPr>
            <w:r w:rsidRPr="006D7B25">
              <w:rPr>
                <w:rFonts w:eastAsia="Times New Roman"/>
                <w:sz w:val="20"/>
                <w:szCs w:val="20"/>
              </w:rPr>
              <w:t>M</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M</w:t>
            </w:r>
          </w:p>
        </w:tc>
        <w:tc>
          <w:tcPr>
            <w:tcW w:w="736" w:type="dxa"/>
          </w:tcPr>
          <w:p w:rsidR="00DD71B3" w:rsidRPr="006D7B25" w:rsidRDefault="00DD71B3" w:rsidP="006D7B25">
            <w:pPr>
              <w:jc w:val="both"/>
              <w:rPr>
                <w:rFonts w:eastAsia="Times New Roman"/>
                <w:sz w:val="20"/>
                <w:szCs w:val="20"/>
              </w:rPr>
            </w:pPr>
            <w:r w:rsidRPr="006D7B25">
              <w:rPr>
                <w:rFonts w:eastAsia="Times New Roman"/>
                <w:sz w:val="20"/>
                <w:szCs w:val="20"/>
              </w:rPr>
              <w:t>F</w:t>
            </w:r>
          </w:p>
        </w:tc>
        <w:tc>
          <w:tcPr>
            <w:tcW w:w="763" w:type="dxa"/>
          </w:tcPr>
          <w:p w:rsidR="00DD71B3" w:rsidRPr="006D7B25" w:rsidRDefault="00DD71B3" w:rsidP="006D7B25">
            <w:pPr>
              <w:jc w:val="both"/>
              <w:rPr>
                <w:rFonts w:eastAsia="Times New Roman"/>
                <w:sz w:val="20"/>
                <w:szCs w:val="20"/>
              </w:rPr>
            </w:pPr>
            <w:r w:rsidRPr="006D7B25">
              <w:rPr>
                <w:rFonts w:eastAsia="Times New Roman"/>
                <w:sz w:val="20"/>
                <w:szCs w:val="20"/>
              </w:rPr>
              <w:t>M</w:t>
            </w:r>
          </w:p>
        </w:tc>
        <w:tc>
          <w:tcPr>
            <w:tcW w:w="643" w:type="dxa"/>
          </w:tcPr>
          <w:p w:rsidR="00DD71B3" w:rsidRPr="006D7B25" w:rsidRDefault="00DD71B3" w:rsidP="006D7B25">
            <w:pPr>
              <w:jc w:val="both"/>
              <w:rPr>
                <w:rFonts w:eastAsia="Times New Roman"/>
                <w:sz w:val="20"/>
                <w:szCs w:val="20"/>
              </w:rPr>
            </w:pPr>
            <w:r w:rsidRPr="006D7B25">
              <w:rPr>
                <w:rFonts w:eastAsia="Times New Roman"/>
                <w:sz w:val="20"/>
                <w:szCs w:val="20"/>
              </w:rPr>
              <w:t>F</w:t>
            </w:r>
          </w:p>
        </w:tc>
        <w:tc>
          <w:tcPr>
            <w:tcW w:w="714" w:type="dxa"/>
          </w:tcPr>
          <w:p w:rsidR="00DD71B3" w:rsidRPr="006D7B25" w:rsidRDefault="00DD71B3" w:rsidP="006D7B25">
            <w:pPr>
              <w:jc w:val="both"/>
              <w:rPr>
                <w:rFonts w:eastAsia="Times New Roman"/>
                <w:sz w:val="20"/>
                <w:szCs w:val="20"/>
              </w:rPr>
            </w:pPr>
            <w:r w:rsidRPr="006D7B25">
              <w:rPr>
                <w:rFonts w:eastAsia="Times New Roman"/>
                <w:sz w:val="20"/>
                <w:szCs w:val="20"/>
              </w:rPr>
              <w:t>F</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F</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M</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F</w:t>
            </w:r>
          </w:p>
        </w:tc>
      </w:tr>
      <w:tr w:rsidR="00DD71B3" w:rsidRPr="006D7B25" w:rsidTr="00D82C05">
        <w:tc>
          <w:tcPr>
            <w:tcW w:w="1736" w:type="dxa"/>
          </w:tcPr>
          <w:p w:rsidR="00DD71B3" w:rsidRPr="006D7B25" w:rsidRDefault="00DD71B3" w:rsidP="006D7B25">
            <w:pPr>
              <w:jc w:val="both"/>
              <w:rPr>
                <w:rFonts w:eastAsia="Times New Roman"/>
                <w:sz w:val="20"/>
                <w:szCs w:val="20"/>
              </w:rPr>
            </w:pPr>
            <w:r w:rsidRPr="006D7B25">
              <w:rPr>
                <w:rFonts w:eastAsia="Times New Roman"/>
                <w:sz w:val="20"/>
                <w:szCs w:val="20"/>
              </w:rPr>
              <w:t>Grade</w:t>
            </w:r>
          </w:p>
        </w:tc>
        <w:tc>
          <w:tcPr>
            <w:tcW w:w="763" w:type="dxa"/>
          </w:tcPr>
          <w:p w:rsidR="00DD71B3" w:rsidRPr="006D7B25" w:rsidRDefault="00DD71B3" w:rsidP="006D7B25">
            <w:pPr>
              <w:jc w:val="both"/>
              <w:rPr>
                <w:rFonts w:eastAsia="Times New Roman"/>
                <w:sz w:val="20"/>
                <w:szCs w:val="20"/>
              </w:rPr>
            </w:pPr>
            <w:r w:rsidRPr="006D7B25">
              <w:rPr>
                <w:rFonts w:eastAsia="Times New Roman"/>
                <w:sz w:val="20"/>
                <w:szCs w:val="20"/>
              </w:rPr>
              <w:t>10</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10</w:t>
            </w:r>
          </w:p>
        </w:tc>
        <w:tc>
          <w:tcPr>
            <w:tcW w:w="736" w:type="dxa"/>
          </w:tcPr>
          <w:p w:rsidR="00DD71B3" w:rsidRPr="006D7B25" w:rsidRDefault="00DD71B3" w:rsidP="006D7B25">
            <w:pPr>
              <w:jc w:val="both"/>
              <w:rPr>
                <w:rFonts w:eastAsia="Times New Roman"/>
                <w:sz w:val="20"/>
                <w:szCs w:val="20"/>
              </w:rPr>
            </w:pPr>
            <w:r w:rsidRPr="006D7B25">
              <w:rPr>
                <w:rFonts w:eastAsia="Times New Roman"/>
                <w:sz w:val="20"/>
                <w:szCs w:val="20"/>
              </w:rPr>
              <w:t>10</w:t>
            </w:r>
          </w:p>
        </w:tc>
        <w:tc>
          <w:tcPr>
            <w:tcW w:w="763" w:type="dxa"/>
          </w:tcPr>
          <w:p w:rsidR="00DD71B3" w:rsidRPr="006D7B25" w:rsidRDefault="00DD71B3" w:rsidP="006D7B25">
            <w:pPr>
              <w:jc w:val="both"/>
              <w:rPr>
                <w:rFonts w:eastAsia="Times New Roman"/>
                <w:sz w:val="20"/>
                <w:szCs w:val="20"/>
              </w:rPr>
            </w:pPr>
            <w:r w:rsidRPr="006D7B25">
              <w:rPr>
                <w:rFonts w:eastAsia="Times New Roman"/>
                <w:sz w:val="20"/>
                <w:szCs w:val="20"/>
              </w:rPr>
              <w:t>10</w:t>
            </w:r>
          </w:p>
        </w:tc>
        <w:tc>
          <w:tcPr>
            <w:tcW w:w="643" w:type="dxa"/>
          </w:tcPr>
          <w:p w:rsidR="00DD71B3" w:rsidRPr="006D7B25" w:rsidRDefault="00DD71B3" w:rsidP="006D7B25">
            <w:pPr>
              <w:jc w:val="both"/>
              <w:rPr>
                <w:rFonts w:eastAsia="Times New Roman"/>
                <w:sz w:val="20"/>
                <w:szCs w:val="20"/>
              </w:rPr>
            </w:pPr>
            <w:r w:rsidRPr="006D7B25">
              <w:rPr>
                <w:rFonts w:eastAsia="Times New Roman"/>
                <w:sz w:val="20"/>
                <w:szCs w:val="20"/>
              </w:rPr>
              <w:t>10</w:t>
            </w:r>
          </w:p>
        </w:tc>
        <w:tc>
          <w:tcPr>
            <w:tcW w:w="714" w:type="dxa"/>
          </w:tcPr>
          <w:p w:rsidR="00DD71B3" w:rsidRPr="006D7B25" w:rsidRDefault="00DD71B3" w:rsidP="006D7B25">
            <w:pPr>
              <w:jc w:val="both"/>
              <w:rPr>
                <w:rFonts w:eastAsia="Times New Roman"/>
                <w:sz w:val="20"/>
                <w:szCs w:val="20"/>
              </w:rPr>
            </w:pPr>
            <w:r w:rsidRPr="006D7B25">
              <w:rPr>
                <w:rFonts w:eastAsia="Times New Roman"/>
                <w:sz w:val="20"/>
                <w:szCs w:val="20"/>
              </w:rPr>
              <w:t>10</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10</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11</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11</w:t>
            </w:r>
          </w:p>
        </w:tc>
      </w:tr>
      <w:tr w:rsidR="00DD71B3" w:rsidRPr="006D7B25" w:rsidTr="00D82C05">
        <w:tc>
          <w:tcPr>
            <w:tcW w:w="1736" w:type="dxa"/>
          </w:tcPr>
          <w:p w:rsidR="00DD71B3" w:rsidRPr="006D7B25" w:rsidRDefault="00DD71B3" w:rsidP="006D7B25">
            <w:pPr>
              <w:jc w:val="both"/>
              <w:rPr>
                <w:rFonts w:eastAsia="Times New Roman"/>
                <w:sz w:val="20"/>
                <w:szCs w:val="20"/>
              </w:rPr>
            </w:pPr>
            <w:r w:rsidRPr="006D7B25">
              <w:rPr>
                <w:rFonts w:eastAsia="Times New Roman"/>
                <w:sz w:val="20"/>
                <w:szCs w:val="20"/>
              </w:rPr>
              <w:t>CA (Years;Months)</w:t>
            </w:r>
          </w:p>
        </w:tc>
        <w:tc>
          <w:tcPr>
            <w:tcW w:w="763" w:type="dxa"/>
          </w:tcPr>
          <w:p w:rsidR="00DD71B3" w:rsidRPr="006D7B25" w:rsidRDefault="00DD71B3" w:rsidP="006D7B25">
            <w:pPr>
              <w:jc w:val="both"/>
              <w:rPr>
                <w:rFonts w:eastAsia="Times New Roman"/>
                <w:sz w:val="20"/>
                <w:szCs w:val="20"/>
              </w:rPr>
            </w:pPr>
            <w:r w:rsidRPr="006D7B25">
              <w:rPr>
                <w:rFonts w:eastAsia="Times New Roman"/>
                <w:sz w:val="20"/>
                <w:szCs w:val="20"/>
              </w:rPr>
              <w:t>15;11</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15;4</w:t>
            </w:r>
          </w:p>
        </w:tc>
        <w:tc>
          <w:tcPr>
            <w:tcW w:w="736" w:type="dxa"/>
          </w:tcPr>
          <w:p w:rsidR="00DD71B3" w:rsidRPr="006D7B25" w:rsidRDefault="00DD71B3" w:rsidP="006D7B25">
            <w:pPr>
              <w:jc w:val="both"/>
              <w:rPr>
                <w:rFonts w:eastAsia="Times New Roman"/>
                <w:sz w:val="20"/>
                <w:szCs w:val="20"/>
              </w:rPr>
            </w:pPr>
            <w:r w:rsidRPr="006D7B25">
              <w:rPr>
                <w:rFonts w:eastAsia="Times New Roman"/>
                <w:sz w:val="20"/>
                <w:szCs w:val="20"/>
              </w:rPr>
              <w:t>16;4</w:t>
            </w:r>
          </w:p>
        </w:tc>
        <w:tc>
          <w:tcPr>
            <w:tcW w:w="763" w:type="dxa"/>
          </w:tcPr>
          <w:p w:rsidR="00DD71B3" w:rsidRPr="006D7B25" w:rsidRDefault="00DD71B3" w:rsidP="006D7B25">
            <w:pPr>
              <w:jc w:val="both"/>
              <w:rPr>
                <w:rFonts w:eastAsia="Times New Roman"/>
                <w:sz w:val="20"/>
                <w:szCs w:val="20"/>
              </w:rPr>
            </w:pPr>
            <w:r w:rsidRPr="006D7B25">
              <w:rPr>
                <w:rFonts w:eastAsia="Times New Roman"/>
                <w:sz w:val="20"/>
                <w:szCs w:val="20"/>
              </w:rPr>
              <w:t>15;11</w:t>
            </w:r>
          </w:p>
        </w:tc>
        <w:tc>
          <w:tcPr>
            <w:tcW w:w="643" w:type="dxa"/>
          </w:tcPr>
          <w:p w:rsidR="00DD71B3" w:rsidRPr="006D7B25" w:rsidRDefault="00DD71B3" w:rsidP="006D7B25">
            <w:pPr>
              <w:jc w:val="both"/>
              <w:rPr>
                <w:rFonts w:eastAsia="Times New Roman"/>
                <w:sz w:val="20"/>
                <w:szCs w:val="20"/>
              </w:rPr>
            </w:pPr>
            <w:r w:rsidRPr="006D7B25">
              <w:rPr>
                <w:rFonts w:eastAsia="Times New Roman"/>
                <w:sz w:val="20"/>
                <w:szCs w:val="20"/>
              </w:rPr>
              <w:t>15;5</w:t>
            </w:r>
          </w:p>
        </w:tc>
        <w:tc>
          <w:tcPr>
            <w:tcW w:w="714" w:type="dxa"/>
          </w:tcPr>
          <w:p w:rsidR="00DD71B3" w:rsidRPr="006D7B25" w:rsidRDefault="00DD71B3" w:rsidP="006D7B25">
            <w:pPr>
              <w:jc w:val="both"/>
              <w:rPr>
                <w:rFonts w:eastAsia="Times New Roman"/>
                <w:sz w:val="20"/>
                <w:szCs w:val="20"/>
              </w:rPr>
            </w:pPr>
            <w:r w:rsidRPr="006D7B25">
              <w:rPr>
                <w:rFonts w:eastAsia="Times New Roman"/>
                <w:sz w:val="20"/>
                <w:szCs w:val="20"/>
              </w:rPr>
              <w:t>15;2</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16;2</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17;5</w:t>
            </w:r>
          </w:p>
        </w:tc>
        <w:tc>
          <w:tcPr>
            <w:tcW w:w="670" w:type="dxa"/>
          </w:tcPr>
          <w:p w:rsidR="00DD71B3" w:rsidRPr="006D7B25" w:rsidRDefault="00DD71B3" w:rsidP="006D7B25">
            <w:pPr>
              <w:jc w:val="both"/>
              <w:rPr>
                <w:rFonts w:eastAsia="Times New Roman"/>
                <w:sz w:val="20"/>
                <w:szCs w:val="20"/>
              </w:rPr>
            </w:pPr>
            <w:r w:rsidRPr="006D7B25">
              <w:rPr>
                <w:rFonts w:eastAsia="Times New Roman"/>
                <w:sz w:val="20"/>
                <w:szCs w:val="20"/>
              </w:rPr>
              <w:t>16;7</w:t>
            </w:r>
          </w:p>
        </w:tc>
      </w:tr>
      <w:tr w:rsidR="00DD71B3" w:rsidRPr="006D7B25" w:rsidTr="00D82C05">
        <w:tc>
          <w:tcPr>
            <w:tcW w:w="1736" w:type="dxa"/>
            <w:tcBorders>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ESE Class</w:t>
            </w:r>
          </w:p>
        </w:tc>
        <w:tc>
          <w:tcPr>
            <w:tcW w:w="763" w:type="dxa"/>
            <w:tcBorders>
              <w:bottom w:val="single" w:sz="4" w:space="0" w:color="auto"/>
            </w:tcBorders>
          </w:tcPr>
          <w:p w:rsidR="00DD71B3" w:rsidRPr="006D7B25" w:rsidRDefault="00DD71B3" w:rsidP="006D7B25">
            <w:pPr>
              <w:jc w:val="both"/>
              <w:rPr>
                <w:rFonts w:eastAsia="Times New Roman"/>
                <w:sz w:val="20"/>
                <w:szCs w:val="20"/>
                <w:vertAlign w:val="superscript"/>
              </w:rPr>
            </w:pPr>
            <w:r w:rsidRPr="006D7B25">
              <w:rPr>
                <w:rFonts w:eastAsia="Times New Roman"/>
                <w:sz w:val="20"/>
                <w:szCs w:val="20"/>
              </w:rPr>
              <w:t>SLD</w:t>
            </w:r>
            <w:r w:rsidRPr="006D7B25">
              <w:rPr>
                <w:rFonts w:eastAsia="Times New Roman"/>
                <w:sz w:val="20"/>
                <w:szCs w:val="20"/>
                <w:vertAlign w:val="superscript"/>
              </w:rPr>
              <w:t>a</w:t>
            </w:r>
          </w:p>
        </w:tc>
        <w:tc>
          <w:tcPr>
            <w:tcW w:w="670" w:type="dxa"/>
            <w:tcBorders>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SLD</w:t>
            </w:r>
          </w:p>
        </w:tc>
        <w:tc>
          <w:tcPr>
            <w:tcW w:w="736" w:type="dxa"/>
            <w:tcBorders>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None</w:t>
            </w:r>
          </w:p>
        </w:tc>
        <w:tc>
          <w:tcPr>
            <w:tcW w:w="763" w:type="dxa"/>
            <w:tcBorders>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SLD</w:t>
            </w:r>
          </w:p>
          <w:p w:rsidR="00DD71B3" w:rsidRPr="006D7B25" w:rsidRDefault="00DD71B3" w:rsidP="006D7B25">
            <w:pPr>
              <w:jc w:val="both"/>
              <w:rPr>
                <w:rFonts w:eastAsia="Times New Roman"/>
                <w:sz w:val="20"/>
                <w:szCs w:val="20"/>
                <w:vertAlign w:val="superscript"/>
              </w:rPr>
            </w:pPr>
            <w:r w:rsidRPr="006D7B25">
              <w:rPr>
                <w:rFonts w:eastAsia="Times New Roman"/>
                <w:sz w:val="20"/>
                <w:szCs w:val="20"/>
              </w:rPr>
              <w:t>SLI</w:t>
            </w:r>
            <w:r w:rsidRPr="006D7B25">
              <w:rPr>
                <w:rFonts w:eastAsia="Times New Roman"/>
                <w:sz w:val="20"/>
                <w:szCs w:val="20"/>
                <w:vertAlign w:val="superscript"/>
              </w:rPr>
              <w:t>b</w:t>
            </w:r>
          </w:p>
        </w:tc>
        <w:tc>
          <w:tcPr>
            <w:tcW w:w="643" w:type="dxa"/>
            <w:tcBorders>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SLI</w:t>
            </w:r>
          </w:p>
        </w:tc>
        <w:tc>
          <w:tcPr>
            <w:tcW w:w="714" w:type="dxa"/>
            <w:tcBorders>
              <w:bottom w:val="single" w:sz="4" w:space="0" w:color="auto"/>
            </w:tcBorders>
          </w:tcPr>
          <w:p w:rsidR="00DD71B3" w:rsidRPr="006D7B25" w:rsidRDefault="00DD71B3" w:rsidP="006D7B25">
            <w:pPr>
              <w:jc w:val="both"/>
              <w:rPr>
                <w:rFonts w:eastAsia="Times New Roman"/>
                <w:sz w:val="20"/>
                <w:szCs w:val="20"/>
                <w:vertAlign w:val="superscript"/>
              </w:rPr>
            </w:pPr>
            <w:r w:rsidRPr="006D7B25">
              <w:rPr>
                <w:rFonts w:eastAsia="Times New Roman"/>
                <w:sz w:val="20"/>
                <w:szCs w:val="20"/>
              </w:rPr>
              <w:t>OHI</w:t>
            </w:r>
            <w:r w:rsidRPr="006D7B25">
              <w:rPr>
                <w:rFonts w:eastAsia="Times New Roman"/>
                <w:sz w:val="20"/>
                <w:szCs w:val="20"/>
                <w:vertAlign w:val="superscript"/>
              </w:rPr>
              <w:t>c</w:t>
            </w:r>
          </w:p>
        </w:tc>
        <w:tc>
          <w:tcPr>
            <w:tcW w:w="670" w:type="dxa"/>
            <w:tcBorders>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SLD</w:t>
            </w:r>
          </w:p>
        </w:tc>
        <w:tc>
          <w:tcPr>
            <w:tcW w:w="670" w:type="dxa"/>
            <w:tcBorders>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SLD</w:t>
            </w:r>
          </w:p>
          <w:p w:rsidR="00DD71B3" w:rsidRPr="006D7B25" w:rsidRDefault="00DD71B3" w:rsidP="006D7B25">
            <w:pPr>
              <w:jc w:val="both"/>
              <w:rPr>
                <w:rFonts w:eastAsia="Times New Roman"/>
                <w:sz w:val="20"/>
                <w:szCs w:val="20"/>
              </w:rPr>
            </w:pPr>
            <w:r w:rsidRPr="006D7B25">
              <w:rPr>
                <w:rFonts w:eastAsia="Times New Roman"/>
                <w:sz w:val="20"/>
                <w:szCs w:val="20"/>
              </w:rPr>
              <w:t>SLI</w:t>
            </w:r>
          </w:p>
        </w:tc>
        <w:tc>
          <w:tcPr>
            <w:tcW w:w="670" w:type="dxa"/>
            <w:tcBorders>
              <w:bottom w:val="single" w:sz="4" w:space="0" w:color="auto"/>
            </w:tcBorders>
          </w:tcPr>
          <w:p w:rsidR="00DD71B3" w:rsidRPr="006D7B25" w:rsidRDefault="00DD71B3" w:rsidP="006D7B25">
            <w:pPr>
              <w:jc w:val="both"/>
              <w:rPr>
                <w:rFonts w:eastAsia="Times New Roman"/>
                <w:sz w:val="20"/>
                <w:szCs w:val="20"/>
              </w:rPr>
            </w:pPr>
            <w:r w:rsidRPr="006D7B25">
              <w:rPr>
                <w:rFonts w:eastAsia="Times New Roman"/>
                <w:sz w:val="20"/>
                <w:szCs w:val="20"/>
              </w:rPr>
              <w:t>SLD</w:t>
            </w:r>
          </w:p>
        </w:tc>
      </w:tr>
    </w:tbl>
    <w:p w:rsidR="007E5800" w:rsidRPr="00D50AD8" w:rsidRDefault="00DD71B3" w:rsidP="006D7B25">
      <w:pPr>
        <w:keepNext/>
        <w:jc w:val="both"/>
        <w:rPr>
          <w:rFonts w:eastAsia="Times New Roman"/>
          <w:sz w:val="16"/>
          <w:szCs w:val="16"/>
        </w:rPr>
      </w:pPr>
      <w:r w:rsidRPr="00D50AD8">
        <w:rPr>
          <w:rFonts w:eastAsia="Times New Roman"/>
          <w:sz w:val="16"/>
          <w:szCs w:val="16"/>
        </w:rPr>
        <w:t xml:space="preserve"> </w:t>
      </w:r>
      <w:r w:rsidRPr="00D50AD8">
        <w:rPr>
          <w:rFonts w:eastAsia="Times New Roman"/>
          <w:sz w:val="16"/>
          <w:szCs w:val="16"/>
          <w:vertAlign w:val="superscript"/>
        </w:rPr>
        <w:t>a</w:t>
      </w:r>
      <w:r w:rsidRPr="00D50AD8">
        <w:rPr>
          <w:rFonts w:eastAsia="Times New Roman"/>
          <w:sz w:val="16"/>
          <w:szCs w:val="16"/>
        </w:rPr>
        <w:t xml:space="preserve">SLD = Specific Learning Disability (primary classification). </w:t>
      </w:r>
      <w:r w:rsidRPr="00D50AD8">
        <w:rPr>
          <w:rFonts w:eastAsia="Times New Roman"/>
          <w:sz w:val="16"/>
          <w:szCs w:val="16"/>
          <w:vertAlign w:val="superscript"/>
        </w:rPr>
        <w:t>b</w:t>
      </w:r>
      <w:r w:rsidRPr="00D50AD8">
        <w:rPr>
          <w:rFonts w:eastAsia="Times New Roman"/>
          <w:sz w:val="16"/>
          <w:szCs w:val="16"/>
        </w:rPr>
        <w:t xml:space="preserve">SLI = Speech Language Impaired (additional exceptionality). </w:t>
      </w:r>
      <w:r w:rsidRPr="00D50AD8">
        <w:rPr>
          <w:rFonts w:eastAsia="Times New Roman"/>
          <w:sz w:val="16"/>
          <w:szCs w:val="16"/>
          <w:vertAlign w:val="superscript"/>
        </w:rPr>
        <w:t>c</w:t>
      </w:r>
      <w:r w:rsidRPr="00D50AD8">
        <w:rPr>
          <w:rFonts w:eastAsia="Times New Roman"/>
          <w:sz w:val="16"/>
          <w:szCs w:val="16"/>
        </w:rPr>
        <w:t>OHI = Other Health Impaired (primary classification).</w:t>
      </w:r>
    </w:p>
    <w:p w:rsidR="00F542D9" w:rsidRDefault="00F542D9" w:rsidP="00F542D9">
      <w:pPr>
        <w:keepNext/>
        <w:jc w:val="both"/>
        <w:rPr>
          <w:rFonts w:eastAsia="Times New Roman"/>
          <w:sz w:val="20"/>
          <w:szCs w:val="20"/>
        </w:rPr>
      </w:pPr>
    </w:p>
    <w:p w:rsidR="00F542D9" w:rsidRDefault="002A7777" w:rsidP="00F542D9">
      <w:pPr>
        <w:keepNext/>
        <w:jc w:val="both"/>
        <w:rPr>
          <w:color w:val="000000"/>
          <w:sz w:val="20"/>
          <w:szCs w:val="20"/>
        </w:rPr>
      </w:pPr>
      <w:r w:rsidRPr="006D7B25">
        <w:rPr>
          <w:color w:val="000000"/>
          <w:sz w:val="20"/>
          <w:szCs w:val="20"/>
        </w:rPr>
        <w:t xml:space="preserve">All </w:t>
      </w:r>
      <w:r w:rsidR="00502D00" w:rsidRPr="006D7B25">
        <w:rPr>
          <w:color w:val="000000"/>
          <w:sz w:val="20"/>
          <w:szCs w:val="20"/>
        </w:rPr>
        <w:t xml:space="preserve">students </w:t>
      </w:r>
      <w:r w:rsidR="00570B16" w:rsidRPr="006D7B25">
        <w:rPr>
          <w:color w:val="000000"/>
          <w:sz w:val="20"/>
          <w:szCs w:val="20"/>
        </w:rPr>
        <w:t xml:space="preserve">continued to receive their day-to-day academic </w:t>
      </w:r>
      <w:r w:rsidR="00542494" w:rsidRPr="006D7B25">
        <w:rPr>
          <w:color w:val="000000"/>
          <w:sz w:val="20"/>
          <w:szCs w:val="20"/>
        </w:rPr>
        <w:t>curriculum</w:t>
      </w:r>
      <w:r w:rsidR="00502D00" w:rsidRPr="006D7B25">
        <w:rPr>
          <w:color w:val="000000"/>
          <w:sz w:val="20"/>
          <w:szCs w:val="20"/>
        </w:rPr>
        <w:t>,</w:t>
      </w:r>
      <w:r w:rsidR="00542494" w:rsidRPr="006D7B25">
        <w:rPr>
          <w:color w:val="000000"/>
          <w:sz w:val="20"/>
          <w:szCs w:val="20"/>
        </w:rPr>
        <w:t xml:space="preserve"> which </w:t>
      </w:r>
      <w:r w:rsidR="00570B16" w:rsidRPr="006D7B25">
        <w:rPr>
          <w:color w:val="000000"/>
          <w:sz w:val="20"/>
          <w:szCs w:val="20"/>
        </w:rPr>
        <w:t xml:space="preserve">followed the state’s general education </w:t>
      </w:r>
      <w:r w:rsidR="00542494" w:rsidRPr="006D7B25">
        <w:rPr>
          <w:color w:val="000000"/>
          <w:sz w:val="20"/>
          <w:szCs w:val="20"/>
        </w:rPr>
        <w:t xml:space="preserve">requirements </w:t>
      </w:r>
      <w:r w:rsidRPr="006D7B25">
        <w:rPr>
          <w:color w:val="000000"/>
          <w:sz w:val="20"/>
          <w:szCs w:val="20"/>
        </w:rPr>
        <w:t xml:space="preserve">for </w:t>
      </w:r>
      <w:r w:rsidR="00570B16" w:rsidRPr="006D7B25">
        <w:rPr>
          <w:color w:val="000000"/>
          <w:sz w:val="20"/>
          <w:szCs w:val="20"/>
        </w:rPr>
        <w:t>their grade level</w:t>
      </w:r>
      <w:r w:rsidR="00542494" w:rsidRPr="006D7B25">
        <w:rPr>
          <w:color w:val="000000"/>
          <w:sz w:val="20"/>
          <w:szCs w:val="20"/>
        </w:rPr>
        <w:t xml:space="preserve">. Classroom </w:t>
      </w:r>
      <w:r w:rsidR="00570B16" w:rsidRPr="006D7B25">
        <w:rPr>
          <w:color w:val="000000"/>
          <w:sz w:val="20"/>
          <w:szCs w:val="20"/>
        </w:rPr>
        <w:t>teachers incorporated classroom technology to enhance their teaching</w:t>
      </w:r>
      <w:r w:rsidR="00502D00" w:rsidRPr="006D7B25">
        <w:rPr>
          <w:color w:val="000000"/>
          <w:sz w:val="20"/>
          <w:szCs w:val="20"/>
        </w:rPr>
        <w:t>,</w:t>
      </w:r>
      <w:r w:rsidR="00570B16" w:rsidRPr="006D7B25">
        <w:rPr>
          <w:color w:val="000000"/>
          <w:sz w:val="20"/>
          <w:szCs w:val="20"/>
        </w:rPr>
        <w:t xml:space="preserve"> but this did not alter the general education curriculum. </w:t>
      </w:r>
    </w:p>
    <w:p w:rsidR="00F542D9" w:rsidRDefault="00F542D9" w:rsidP="00F542D9">
      <w:pPr>
        <w:keepNext/>
        <w:jc w:val="both"/>
        <w:rPr>
          <w:color w:val="000000"/>
          <w:sz w:val="20"/>
          <w:szCs w:val="20"/>
        </w:rPr>
      </w:pPr>
    </w:p>
    <w:p w:rsidR="005A1285" w:rsidRPr="00892E75" w:rsidRDefault="005A1285" w:rsidP="00F542D9">
      <w:pPr>
        <w:keepNext/>
        <w:jc w:val="both"/>
        <w:rPr>
          <w:i/>
          <w:color w:val="000000"/>
          <w:sz w:val="20"/>
          <w:szCs w:val="20"/>
        </w:rPr>
      </w:pPr>
      <w:r w:rsidRPr="00892E75">
        <w:rPr>
          <w:i/>
          <w:sz w:val="20"/>
          <w:szCs w:val="20"/>
        </w:rPr>
        <w:t>Materials</w:t>
      </w:r>
    </w:p>
    <w:p w:rsidR="005A1285" w:rsidRPr="006D7B25" w:rsidRDefault="005A1285" w:rsidP="00F542D9">
      <w:pPr>
        <w:jc w:val="both"/>
        <w:rPr>
          <w:sz w:val="20"/>
          <w:szCs w:val="20"/>
        </w:rPr>
      </w:pPr>
      <w:r w:rsidRPr="006D7B25">
        <w:rPr>
          <w:sz w:val="20"/>
          <w:szCs w:val="20"/>
        </w:rPr>
        <w:t xml:space="preserve">The </w:t>
      </w:r>
      <w:r w:rsidR="00B23AD2" w:rsidRPr="006D7B25">
        <w:rPr>
          <w:i/>
          <w:sz w:val="20"/>
          <w:szCs w:val="20"/>
        </w:rPr>
        <w:t>Barton Reading and Spelling System©</w:t>
      </w:r>
      <w:r w:rsidR="00B23AD2" w:rsidRPr="006D7B25">
        <w:rPr>
          <w:sz w:val="20"/>
          <w:szCs w:val="20"/>
        </w:rPr>
        <w:t xml:space="preserve"> (BRSS; Barton 2000) </w:t>
      </w:r>
      <w:r w:rsidRPr="006D7B25">
        <w:rPr>
          <w:sz w:val="20"/>
          <w:szCs w:val="20"/>
        </w:rPr>
        <w:t xml:space="preserve">is an OG-based reading instruction program. Reflecting its OG roots, the BRSS is designed to employ simultaneous multisensory instruction by appealing to students’ visual, auditory, tactile, and kinesthetic senses. It is divided into ten levels of progressively challenging decoding and spelling rules of the English language. The levels are delivered in a ten-step systematic and cumulative sequence. After a quick review of the prior lesson and a phonemic awareness drill, the instructor introduces a new rule to the student using tiles of different colors, letters, and letter combinations.  The student practices the new rule first by reading and spelling real and nonsense words with tiles and then by reading and spelling real and nonsense words on paper. Once the student masters the new rule at the word level, he progresses to reading and spelling phrases and sentences on paper; reading fluency, accuracy, and phrasing are emphasized beyond word-level reading and writing.  Finally, the student further practices reading fluency, accuracy, and phrasing with phonically-controlled text.  Throughout these procedures, the student uses both analytic and synthetic phonics by segmenting whole words into smaller parts (analytic) and blending individual sounds/letters into whole words (synthetic).  </w:t>
      </w:r>
    </w:p>
    <w:p w:rsidR="00F542D9" w:rsidRDefault="00F542D9" w:rsidP="00F542D9">
      <w:pPr>
        <w:pStyle w:val="08BodyText"/>
        <w:spacing w:line="240" w:lineRule="auto"/>
        <w:ind w:firstLine="0"/>
        <w:jc w:val="both"/>
        <w:rPr>
          <w:sz w:val="20"/>
        </w:rPr>
      </w:pPr>
    </w:p>
    <w:p w:rsidR="005A1285" w:rsidRPr="006D7B25" w:rsidRDefault="005A1285" w:rsidP="00F542D9">
      <w:pPr>
        <w:pStyle w:val="08BodyText"/>
        <w:spacing w:line="240" w:lineRule="auto"/>
        <w:ind w:firstLine="0"/>
        <w:jc w:val="both"/>
        <w:rPr>
          <w:sz w:val="20"/>
        </w:rPr>
      </w:pPr>
      <w:r w:rsidRPr="006D7B25">
        <w:rPr>
          <w:sz w:val="20"/>
        </w:rPr>
        <w:t xml:space="preserve">The specific multisensory strategies used in the BRSS include tapping out vowel sounds with associated key words while saying the sound and key word, touching each letter tile and saying the corresponding sound, finger-spelling words while saying corresponding sounds, and visualizing the grapheme form of sight words. As </w:t>
      </w:r>
      <w:r w:rsidR="00185A98" w:rsidRPr="006D7B25">
        <w:rPr>
          <w:sz w:val="20"/>
        </w:rPr>
        <w:t xml:space="preserve">the </w:t>
      </w:r>
      <w:r w:rsidRPr="006D7B25">
        <w:rPr>
          <w:sz w:val="20"/>
        </w:rPr>
        <w:t xml:space="preserve">student progresses through the levels, some of the steps are discontinued.  The BRSS strategies are </w:t>
      </w:r>
      <w:r w:rsidR="00185A98" w:rsidRPr="006D7B25">
        <w:rPr>
          <w:sz w:val="20"/>
        </w:rPr>
        <w:t xml:space="preserve">follows: </w:t>
      </w:r>
      <w:r w:rsidRPr="006D7B25">
        <w:rPr>
          <w:sz w:val="20"/>
        </w:rPr>
        <w:t xml:space="preserve">  </w:t>
      </w:r>
    </w:p>
    <w:p w:rsidR="005A1285" w:rsidRPr="006D7B25" w:rsidRDefault="005A1285" w:rsidP="006D7B25">
      <w:pPr>
        <w:pStyle w:val="10TableText"/>
        <w:numPr>
          <w:ilvl w:val="0"/>
          <w:numId w:val="12"/>
        </w:numPr>
        <w:jc w:val="both"/>
        <w:rPr>
          <w:sz w:val="20"/>
          <w:szCs w:val="20"/>
        </w:rPr>
      </w:pPr>
      <w:r w:rsidRPr="006D7B25">
        <w:rPr>
          <w:rStyle w:val="05First-LevelSubheadingUNDERLINEChar"/>
          <w:sz w:val="20"/>
          <w:szCs w:val="20"/>
        </w:rPr>
        <w:t>Step 1-Tutor dictates word</w:t>
      </w:r>
      <w:r w:rsidRPr="006D7B25">
        <w:rPr>
          <w:b/>
          <w:sz w:val="20"/>
          <w:szCs w:val="20"/>
        </w:rPr>
        <w:t>.</w:t>
      </w:r>
      <w:r w:rsidRPr="006D7B25">
        <w:rPr>
          <w:sz w:val="20"/>
          <w:szCs w:val="20"/>
        </w:rPr>
        <w:t xml:space="preserve"> The tutor gestures to herself with her hand each time she dictates a word to the student.</w:t>
      </w:r>
    </w:p>
    <w:p w:rsidR="005A1285" w:rsidRPr="006D7B25" w:rsidRDefault="005A1285" w:rsidP="006D7B25">
      <w:pPr>
        <w:pStyle w:val="10TableText"/>
        <w:numPr>
          <w:ilvl w:val="0"/>
          <w:numId w:val="12"/>
        </w:numPr>
        <w:jc w:val="both"/>
        <w:rPr>
          <w:sz w:val="20"/>
          <w:szCs w:val="20"/>
        </w:rPr>
      </w:pPr>
      <w:r w:rsidRPr="006D7B25">
        <w:rPr>
          <w:rStyle w:val="05First-LevelSubheadingUNDERLINEChar"/>
          <w:sz w:val="20"/>
          <w:szCs w:val="20"/>
        </w:rPr>
        <w:t>Step 2-Student repeats word</w:t>
      </w:r>
      <w:r w:rsidRPr="006D7B25">
        <w:rPr>
          <w:sz w:val="20"/>
          <w:szCs w:val="20"/>
        </w:rPr>
        <w:t>. The tutor gestures with her hand to the student each time the student repeats a word.</w:t>
      </w:r>
    </w:p>
    <w:p w:rsidR="005A1285" w:rsidRPr="006D7B25" w:rsidRDefault="005A1285" w:rsidP="006D7B25">
      <w:pPr>
        <w:pStyle w:val="10TableText"/>
        <w:numPr>
          <w:ilvl w:val="0"/>
          <w:numId w:val="12"/>
        </w:numPr>
        <w:jc w:val="both"/>
        <w:rPr>
          <w:sz w:val="20"/>
          <w:szCs w:val="20"/>
        </w:rPr>
      </w:pPr>
      <w:r w:rsidRPr="006D7B25">
        <w:rPr>
          <w:rStyle w:val="05First-LevelSubheadingUNDERLINEChar"/>
          <w:sz w:val="20"/>
          <w:szCs w:val="20"/>
        </w:rPr>
        <w:t>Step 3-Touch and say</w:t>
      </w:r>
      <w:r w:rsidRPr="006D7B25">
        <w:rPr>
          <w:i/>
          <w:sz w:val="20"/>
          <w:szCs w:val="20"/>
        </w:rPr>
        <w:t>.</w:t>
      </w:r>
      <w:r w:rsidRPr="006D7B25">
        <w:rPr>
          <w:sz w:val="20"/>
          <w:szCs w:val="20"/>
        </w:rPr>
        <w:t xml:space="preserve"> The student taps each tile, starting with the index finger, and says the sound represented by the tile. In the initial sessions, the tutor demonstrates this process for the student. </w:t>
      </w:r>
    </w:p>
    <w:p w:rsidR="005A1285" w:rsidRPr="006D7B25" w:rsidRDefault="005A1285" w:rsidP="006D7B25">
      <w:pPr>
        <w:pStyle w:val="10TableText"/>
        <w:numPr>
          <w:ilvl w:val="0"/>
          <w:numId w:val="12"/>
        </w:numPr>
        <w:jc w:val="both"/>
        <w:rPr>
          <w:sz w:val="20"/>
          <w:szCs w:val="20"/>
        </w:rPr>
      </w:pPr>
      <w:r w:rsidRPr="006D7B25">
        <w:rPr>
          <w:rStyle w:val="05First-LevelSubheadingUNDERLINEChar"/>
          <w:sz w:val="20"/>
          <w:szCs w:val="20"/>
        </w:rPr>
        <w:t>Step 4-Tapping a vowel sound</w:t>
      </w:r>
      <w:r w:rsidRPr="006D7B25">
        <w:rPr>
          <w:sz w:val="20"/>
          <w:szCs w:val="20"/>
        </w:rPr>
        <w:t xml:space="preserve">. A specific procedure is used to tap the vowel sound. Using a two-syllable key word to represent the short vowel sound, the student begins by tapping the index finger on the table while saying the onset/vowel sound; next the student taps the middle finger on the table while saying the rime. This is repeated two times and the student ends by tapping out the vowel sound with the index finger three times. For example for the short vowel sound of </w:t>
      </w:r>
      <w:r w:rsidR="006F6487" w:rsidRPr="006D7B25">
        <w:rPr>
          <w:sz w:val="20"/>
          <w:szCs w:val="20"/>
        </w:rPr>
        <w:t>/</w:t>
      </w:r>
      <w:r w:rsidRPr="006D7B25">
        <w:rPr>
          <w:i/>
          <w:sz w:val="20"/>
          <w:szCs w:val="20"/>
        </w:rPr>
        <w:t>i</w:t>
      </w:r>
      <w:r w:rsidR="006F6487" w:rsidRPr="006D7B25">
        <w:rPr>
          <w:i/>
          <w:sz w:val="20"/>
          <w:szCs w:val="20"/>
        </w:rPr>
        <w:t>l</w:t>
      </w:r>
      <w:r w:rsidRPr="006D7B25">
        <w:rPr>
          <w:sz w:val="20"/>
          <w:szCs w:val="20"/>
        </w:rPr>
        <w:t xml:space="preserve"> and the key word </w:t>
      </w:r>
      <w:r w:rsidRPr="006D7B25">
        <w:rPr>
          <w:i/>
          <w:sz w:val="20"/>
          <w:szCs w:val="20"/>
        </w:rPr>
        <w:t>itchy</w:t>
      </w:r>
      <w:r w:rsidR="00121D34" w:rsidRPr="006D7B25">
        <w:rPr>
          <w:sz w:val="20"/>
          <w:szCs w:val="20"/>
        </w:rPr>
        <w:t>,</w:t>
      </w:r>
      <w:r w:rsidRPr="006D7B25">
        <w:rPr>
          <w:sz w:val="20"/>
          <w:szCs w:val="20"/>
        </w:rPr>
        <w:t xml:space="preserve"> the student would start tapping with the index finger and say</w:t>
      </w:r>
      <w:r w:rsidR="001C3828" w:rsidRPr="006D7B25">
        <w:rPr>
          <w:sz w:val="20"/>
          <w:szCs w:val="20"/>
        </w:rPr>
        <w:t xml:space="preserve"> /</w:t>
      </w:r>
      <w:r w:rsidRPr="006D7B25">
        <w:rPr>
          <w:i/>
          <w:sz w:val="20"/>
          <w:szCs w:val="20"/>
        </w:rPr>
        <w:t>i</w:t>
      </w:r>
      <w:r w:rsidR="001C3828" w:rsidRPr="006D7B25">
        <w:rPr>
          <w:sz w:val="20"/>
          <w:szCs w:val="20"/>
        </w:rPr>
        <w:t>/</w:t>
      </w:r>
      <w:r w:rsidRPr="006D7B25">
        <w:rPr>
          <w:sz w:val="20"/>
          <w:szCs w:val="20"/>
        </w:rPr>
        <w:t xml:space="preserve"> tap with the middle finger and say </w:t>
      </w:r>
      <w:r w:rsidRPr="006D7B25">
        <w:rPr>
          <w:i/>
          <w:sz w:val="20"/>
          <w:szCs w:val="20"/>
        </w:rPr>
        <w:t>i</w:t>
      </w:r>
      <w:r w:rsidRPr="006D7B25">
        <w:rPr>
          <w:sz w:val="20"/>
          <w:szCs w:val="20"/>
        </w:rPr>
        <w:t xml:space="preserve"> </w:t>
      </w:r>
      <w:r w:rsidRPr="006D7B25">
        <w:rPr>
          <w:i/>
          <w:sz w:val="20"/>
          <w:szCs w:val="20"/>
        </w:rPr>
        <w:t>tchy</w:t>
      </w:r>
      <w:r w:rsidRPr="006D7B25">
        <w:rPr>
          <w:sz w:val="20"/>
          <w:szCs w:val="20"/>
        </w:rPr>
        <w:t>, repeat this two times, and finish with tapping the</w:t>
      </w:r>
      <w:r w:rsidR="00F21A06" w:rsidRPr="006D7B25">
        <w:rPr>
          <w:sz w:val="20"/>
          <w:szCs w:val="20"/>
        </w:rPr>
        <w:t xml:space="preserve"> /</w:t>
      </w:r>
      <w:r w:rsidRPr="006D7B25">
        <w:rPr>
          <w:i/>
          <w:sz w:val="20"/>
          <w:szCs w:val="20"/>
        </w:rPr>
        <w:t>i</w:t>
      </w:r>
      <w:r w:rsidR="00F21A06" w:rsidRPr="006D7B25">
        <w:rPr>
          <w:sz w:val="20"/>
          <w:szCs w:val="20"/>
        </w:rPr>
        <w:t xml:space="preserve">/ </w:t>
      </w:r>
      <w:r w:rsidRPr="006D7B25">
        <w:rPr>
          <w:sz w:val="20"/>
          <w:szCs w:val="20"/>
        </w:rPr>
        <w:t>three times with the index finger-</w:t>
      </w:r>
      <w:r w:rsidR="00F6624C" w:rsidRPr="006D7B25">
        <w:rPr>
          <w:sz w:val="20"/>
          <w:szCs w:val="20"/>
        </w:rPr>
        <w:t xml:space="preserve"> </w:t>
      </w:r>
      <w:r w:rsidRPr="006D7B25">
        <w:rPr>
          <w:i/>
          <w:sz w:val="20"/>
          <w:szCs w:val="20"/>
        </w:rPr>
        <w:t>i</w:t>
      </w:r>
      <w:r w:rsidR="00C500BD" w:rsidRPr="006D7B25">
        <w:rPr>
          <w:i/>
          <w:sz w:val="20"/>
          <w:szCs w:val="20"/>
        </w:rPr>
        <w:t>-</w:t>
      </w:r>
      <w:r w:rsidRPr="006D7B25">
        <w:rPr>
          <w:i/>
          <w:sz w:val="20"/>
          <w:szCs w:val="20"/>
        </w:rPr>
        <w:t>tchy,</w:t>
      </w:r>
      <w:r w:rsidRPr="006D7B25">
        <w:rPr>
          <w:sz w:val="20"/>
          <w:szCs w:val="20"/>
        </w:rPr>
        <w:t xml:space="preserve"> </w:t>
      </w:r>
      <w:r w:rsidRPr="006D7B25">
        <w:rPr>
          <w:i/>
          <w:sz w:val="20"/>
          <w:szCs w:val="20"/>
        </w:rPr>
        <w:t>i</w:t>
      </w:r>
      <w:r w:rsidR="00C500BD" w:rsidRPr="006D7B25">
        <w:rPr>
          <w:i/>
          <w:sz w:val="20"/>
          <w:szCs w:val="20"/>
        </w:rPr>
        <w:t>-</w:t>
      </w:r>
      <w:r w:rsidRPr="006D7B25">
        <w:rPr>
          <w:i/>
          <w:sz w:val="20"/>
          <w:szCs w:val="20"/>
        </w:rPr>
        <w:t>tchy</w:t>
      </w:r>
      <w:r w:rsidRPr="006D7B25">
        <w:rPr>
          <w:sz w:val="20"/>
          <w:szCs w:val="20"/>
        </w:rPr>
        <w:t xml:space="preserve">, </w:t>
      </w:r>
      <w:r w:rsidRPr="006D7B25">
        <w:rPr>
          <w:i/>
          <w:sz w:val="20"/>
          <w:szCs w:val="20"/>
        </w:rPr>
        <w:t>i</w:t>
      </w:r>
      <w:r w:rsidRPr="006D7B25">
        <w:rPr>
          <w:sz w:val="20"/>
          <w:szCs w:val="20"/>
        </w:rPr>
        <w:t xml:space="preserve">, </w:t>
      </w:r>
      <w:r w:rsidRPr="006D7B25">
        <w:rPr>
          <w:i/>
          <w:sz w:val="20"/>
          <w:szCs w:val="20"/>
        </w:rPr>
        <w:t>i</w:t>
      </w:r>
      <w:r w:rsidRPr="006D7B25">
        <w:rPr>
          <w:sz w:val="20"/>
          <w:szCs w:val="20"/>
        </w:rPr>
        <w:t xml:space="preserve">, </w:t>
      </w:r>
      <w:r w:rsidRPr="006D7B25">
        <w:rPr>
          <w:i/>
          <w:sz w:val="20"/>
          <w:szCs w:val="20"/>
        </w:rPr>
        <w:t>i</w:t>
      </w:r>
      <w:r w:rsidRPr="006D7B25">
        <w:rPr>
          <w:sz w:val="20"/>
          <w:szCs w:val="20"/>
        </w:rPr>
        <w:t xml:space="preserve">. </w:t>
      </w:r>
    </w:p>
    <w:p w:rsidR="005A1285" w:rsidRPr="006D7B25" w:rsidRDefault="005A1285" w:rsidP="006D7B25">
      <w:pPr>
        <w:pStyle w:val="10TableText"/>
        <w:numPr>
          <w:ilvl w:val="0"/>
          <w:numId w:val="12"/>
        </w:numPr>
        <w:jc w:val="both"/>
        <w:rPr>
          <w:sz w:val="20"/>
          <w:szCs w:val="20"/>
        </w:rPr>
      </w:pPr>
      <w:r w:rsidRPr="006D7B25">
        <w:rPr>
          <w:rStyle w:val="05First-LevelSubheadingUNDERLINEChar"/>
          <w:sz w:val="20"/>
          <w:szCs w:val="20"/>
        </w:rPr>
        <w:t>Step 5-Slowdown step</w:t>
      </w:r>
      <w:r w:rsidRPr="006D7B25">
        <w:rPr>
          <w:i/>
          <w:sz w:val="20"/>
          <w:szCs w:val="20"/>
        </w:rPr>
        <w:t xml:space="preserve">. </w:t>
      </w:r>
      <w:r w:rsidRPr="006D7B25">
        <w:rPr>
          <w:sz w:val="20"/>
          <w:szCs w:val="20"/>
        </w:rPr>
        <w:t xml:space="preserve">The tutor makes a swooping motion with her dominant/writing hand towards the student as the student repeats the dictated word. The tutor starts the swoop at the student’s left shoulder, brings her arm down toward the table in an arc, and moves her arm upward towards the student’s right should to finish the swoop. </w:t>
      </w:r>
    </w:p>
    <w:p w:rsidR="005A1285" w:rsidRPr="006D7B25" w:rsidRDefault="005A1285" w:rsidP="006D7B25">
      <w:pPr>
        <w:pStyle w:val="10TableText"/>
        <w:numPr>
          <w:ilvl w:val="0"/>
          <w:numId w:val="12"/>
        </w:numPr>
        <w:jc w:val="both"/>
        <w:rPr>
          <w:sz w:val="20"/>
          <w:szCs w:val="20"/>
        </w:rPr>
      </w:pPr>
      <w:r w:rsidRPr="006D7B25">
        <w:rPr>
          <w:rStyle w:val="05First-LevelSubheadingUNDERLINEChar"/>
          <w:sz w:val="20"/>
          <w:szCs w:val="20"/>
        </w:rPr>
        <w:t>Step 6-Slowly blend the sounds</w:t>
      </w:r>
      <w:r w:rsidRPr="006D7B25">
        <w:rPr>
          <w:i/>
          <w:sz w:val="20"/>
          <w:szCs w:val="20"/>
        </w:rPr>
        <w:t xml:space="preserve">. </w:t>
      </w:r>
      <w:r w:rsidRPr="006D7B25">
        <w:rPr>
          <w:sz w:val="20"/>
          <w:szCs w:val="20"/>
        </w:rPr>
        <w:t>The student runs his index finger along the table, below the tiles used to spell the word, in a half-circle</w:t>
      </w:r>
      <w:r w:rsidR="00C500BD" w:rsidRPr="006D7B25">
        <w:rPr>
          <w:sz w:val="20"/>
          <w:szCs w:val="20"/>
        </w:rPr>
        <w:t xml:space="preserve">, </w:t>
      </w:r>
      <w:r w:rsidRPr="006D7B25">
        <w:rPr>
          <w:sz w:val="20"/>
          <w:szCs w:val="20"/>
        </w:rPr>
        <w:t>u</w:t>
      </w:r>
      <w:r w:rsidR="00C500BD" w:rsidRPr="006D7B25">
        <w:rPr>
          <w:sz w:val="20"/>
          <w:szCs w:val="20"/>
        </w:rPr>
        <w:t>-</w:t>
      </w:r>
      <w:r w:rsidRPr="006D7B25">
        <w:rPr>
          <w:sz w:val="20"/>
          <w:szCs w:val="20"/>
        </w:rPr>
        <w:t>shape while slowly saying the word on the tiles.</w:t>
      </w:r>
    </w:p>
    <w:p w:rsidR="005A1285" w:rsidRPr="006D7B25" w:rsidRDefault="005A1285" w:rsidP="006D7B25">
      <w:pPr>
        <w:pStyle w:val="10TableText"/>
        <w:numPr>
          <w:ilvl w:val="0"/>
          <w:numId w:val="12"/>
        </w:numPr>
        <w:jc w:val="both"/>
        <w:rPr>
          <w:sz w:val="20"/>
          <w:szCs w:val="20"/>
        </w:rPr>
      </w:pPr>
      <w:r w:rsidRPr="006D7B25">
        <w:rPr>
          <w:rStyle w:val="05First-LevelSubheadingUNDERLINEChar"/>
          <w:sz w:val="20"/>
          <w:szCs w:val="20"/>
        </w:rPr>
        <w:t>Step 7-Say it fast like a word</w:t>
      </w:r>
      <w:r w:rsidRPr="006D7B25">
        <w:rPr>
          <w:sz w:val="20"/>
          <w:szCs w:val="20"/>
        </w:rPr>
        <w:t>. After the student has slowly blended the word, he draws the index finger in a line below the tiles and says the word using a normal speaking rate.</w:t>
      </w:r>
    </w:p>
    <w:p w:rsidR="005A1285" w:rsidRPr="006D7B25" w:rsidRDefault="005A1285" w:rsidP="006D7B25">
      <w:pPr>
        <w:pStyle w:val="10TableText"/>
        <w:numPr>
          <w:ilvl w:val="0"/>
          <w:numId w:val="12"/>
        </w:numPr>
        <w:jc w:val="both"/>
        <w:rPr>
          <w:sz w:val="20"/>
          <w:szCs w:val="20"/>
        </w:rPr>
      </w:pPr>
      <w:r w:rsidRPr="006D7B25">
        <w:rPr>
          <w:rStyle w:val="05First-LevelSubheadingUNDERLINEChar"/>
          <w:sz w:val="20"/>
          <w:szCs w:val="20"/>
        </w:rPr>
        <w:t>Step 8-Finger spelling</w:t>
      </w:r>
      <w:r w:rsidRPr="006D7B25">
        <w:rPr>
          <w:sz w:val="20"/>
          <w:szCs w:val="20"/>
        </w:rPr>
        <w:t>. Starting with the thumb of the non-writing hand and moving from left to right, the student holds up one finger per sound to spell the word on his fingers.</w:t>
      </w:r>
    </w:p>
    <w:p w:rsidR="00D50AD8" w:rsidRDefault="00D50AD8" w:rsidP="00D50AD8">
      <w:pPr>
        <w:pStyle w:val="10TableText"/>
        <w:jc w:val="both"/>
        <w:rPr>
          <w:sz w:val="20"/>
          <w:szCs w:val="20"/>
        </w:rPr>
      </w:pPr>
    </w:p>
    <w:p w:rsidR="00C539E5" w:rsidRPr="006D7B25" w:rsidRDefault="005A1285" w:rsidP="00D50AD8">
      <w:pPr>
        <w:pStyle w:val="10TableText"/>
        <w:jc w:val="both"/>
        <w:rPr>
          <w:b/>
          <w:color w:val="FF0000"/>
          <w:sz w:val="20"/>
          <w:szCs w:val="20"/>
        </w:rPr>
      </w:pPr>
      <w:r w:rsidRPr="006D7B25">
        <w:rPr>
          <w:sz w:val="20"/>
          <w:szCs w:val="20"/>
        </w:rPr>
        <w:t xml:space="preserve">The ten levels of the BRSS are comprehensive in scope, beginning with basic phonemic awareness skills illustrated by various vowel-consonant combinations and culminating with Latin roots and Greek forms. Within this scope, the levels are sequenced according to the following hierarchy:  (1) </w:t>
      </w:r>
      <w:r w:rsidRPr="006D7B25">
        <w:rPr>
          <w:i/>
          <w:sz w:val="20"/>
          <w:szCs w:val="20"/>
        </w:rPr>
        <w:t>Level 1</w:t>
      </w:r>
      <w:r w:rsidRPr="006D7B25">
        <w:rPr>
          <w:sz w:val="20"/>
          <w:szCs w:val="20"/>
        </w:rPr>
        <w:t>: Phonemic Awareness</w:t>
      </w:r>
      <w:r w:rsidRPr="006D7B25">
        <w:rPr>
          <w:color w:val="000000"/>
          <w:sz w:val="20"/>
          <w:szCs w:val="20"/>
        </w:rPr>
        <w:t xml:space="preserve">; (2) </w:t>
      </w:r>
      <w:r w:rsidRPr="006D7B25">
        <w:rPr>
          <w:i/>
          <w:color w:val="000000"/>
          <w:sz w:val="20"/>
          <w:szCs w:val="20"/>
        </w:rPr>
        <w:t>Level 2</w:t>
      </w:r>
      <w:r w:rsidRPr="006D7B25">
        <w:rPr>
          <w:color w:val="000000"/>
          <w:sz w:val="20"/>
          <w:szCs w:val="20"/>
        </w:rPr>
        <w:t xml:space="preserve">: </w:t>
      </w:r>
      <w:r w:rsidRPr="006D7B25">
        <w:rPr>
          <w:sz w:val="20"/>
          <w:szCs w:val="20"/>
        </w:rPr>
        <w:t xml:space="preserve">Consonants and Short Vowels; </w:t>
      </w:r>
      <w:r w:rsidRPr="006D7B25">
        <w:rPr>
          <w:color w:val="000000"/>
          <w:sz w:val="20"/>
          <w:szCs w:val="20"/>
        </w:rPr>
        <w:t xml:space="preserve">(3) </w:t>
      </w:r>
      <w:r w:rsidRPr="006D7B25">
        <w:rPr>
          <w:i/>
          <w:color w:val="000000"/>
          <w:sz w:val="20"/>
          <w:szCs w:val="20"/>
        </w:rPr>
        <w:t>Level 3</w:t>
      </w:r>
      <w:r w:rsidRPr="006D7B25">
        <w:rPr>
          <w:color w:val="000000"/>
          <w:sz w:val="20"/>
          <w:szCs w:val="20"/>
        </w:rPr>
        <w:t xml:space="preserve">: </w:t>
      </w:r>
      <w:r w:rsidRPr="006D7B25">
        <w:rPr>
          <w:sz w:val="20"/>
          <w:szCs w:val="20"/>
        </w:rPr>
        <w:t xml:space="preserve">Closed and Unit Syllables; (4) </w:t>
      </w:r>
      <w:r w:rsidRPr="006D7B25">
        <w:rPr>
          <w:i/>
          <w:sz w:val="20"/>
          <w:szCs w:val="20"/>
        </w:rPr>
        <w:t>Level 4</w:t>
      </w:r>
      <w:r w:rsidRPr="006D7B25">
        <w:rPr>
          <w:sz w:val="20"/>
          <w:szCs w:val="20"/>
        </w:rPr>
        <w:t xml:space="preserve">: Multisyllable Words and Vowel Teams; (5) </w:t>
      </w:r>
      <w:r w:rsidRPr="006D7B25">
        <w:rPr>
          <w:i/>
          <w:sz w:val="20"/>
          <w:szCs w:val="20"/>
        </w:rPr>
        <w:t>Level 5</w:t>
      </w:r>
      <w:r w:rsidRPr="006D7B25">
        <w:rPr>
          <w:sz w:val="20"/>
          <w:szCs w:val="20"/>
        </w:rPr>
        <w:t xml:space="preserve">: Prefixes and Suffixes; (6) </w:t>
      </w:r>
      <w:r w:rsidRPr="006D7B25">
        <w:rPr>
          <w:i/>
          <w:sz w:val="20"/>
          <w:szCs w:val="20"/>
        </w:rPr>
        <w:t>Level 6</w:t>
      </w:r>
      <w:r w:rsidRPr="006D7B25">
        <w:rPr>
          <w:sz w:val="20"/>
          <w:szCs w:val="20"/>
        </w:rPr>
        <w:t xml:space="preserve">: Six Reasons for Silent E, </w:t>
      </w:r>
      <w:r w:rsidRPr="006D7B25">
        <w:rPr>
          <w:b/>
          <w:color w:val="FF0000"/>
          <w:sz w:val="20"/>
          <w:szCs w:val="20"/>
        </w:rPr>
        <w:t xml:space="preserve"> </w:t>
      </w:r>
      <w:r w:rsidRPr="006D7B25">
        <w:rPr>
          <w:sz w:val="20"/>
          <w:szCs w:val="20"/>
        </w:rPr>
        <w:t xml:space="preserve">(7) </w:t>
      </w:r>
      <w:r w:rsidRPr="006D7B25">
        <w:rPr>
          <w:i/>
          <w:sz w:val="20"/>
          <w:szCs w:val="20"/>
        </w:rPr>
        <w:t>Level 7</w:t>
      </w:r>
      <w:r w:rsidRPr="006D7B25">
        <w:rPr>
          <w:sz w:val="20"/>
          <w:szCs w:val="20"/>
        </w:rPr>
        <w:t xml:space="preserve">: Vowel-R’s; (8) </w:t>
      </w:r>
      <w:r w:rsidRPr="006D7B25">
        <w:rPr>
          <w:i/>
          <w:sz w:val="20"/>
          <w:szCs w:val="20"/>
        </w:rPr>
        <w:t>Level 8</w:t>
      </w:r>
      <w:r w:rsidRPr="006D7B25">
        <w:rPr>
          <w:sz w:val="20"/>
          <w:szCs w:val="20"/>
        </w:rPr>
        <w:t xml:space="preserve">: Advanced Vowel Teams; 9) </w:t>
      </w:r>
      <w:r w:rsidRPr="006D7B25">
        <w:rPr>
          <w:i/>
          <w:sz w:val="20"/>
          <w:szCs w:val="20"/>
        </w:rPr>
        <w:t>Level 9</w:t>
      </w:r>
      <w:r w:rsidRPr="006D7B25">
        <w:rPr>
          <w:sz w:val="20"/>
          <w:szCs w:val="20"/>
        </w:rPr>
        <w:t xml:space="preserve">: Influence of Foreign Languages; and (10) </w:t>
      </w:r>
      <w:r w:rsidRPr="006D7B25">
        <w:rPr>
          <w:i/>
          <w:sz w:val="20"/>
          <w:szCs w:val="20"/>
        </w:rPr>
        <w:t>Level 10</w:t>
      </w:r>
      <w:r w:rsidRPr="006D7B25">
        <w:rPr>
          <w:sz w:val="20"/>
          <w:szCs w:val="20"/>
        </w:rPr>
        <w:t>: Latin Roots and Greek Combining Forms</w:t>
      </w:r>
      <w:r w:rsidR="009F758F" w:rsidRPr="006D7B25">
        <w:rPr>
          <w:sz w:val="20"/>
          <w:szCs w:val="20"/>
        </w:rPr>
        <w:t xml:space="preserve"> (see Table 2)</w:t>
      </w:r>
      <w:r w:rsidRPr="006D7B25">
        <w:rPr>
          <w:sz w:val="20"/>
          <w:szCs w:val="20"/>
        </w:rPr>
        <w:t xml:space="preserve">. </w:t>
      </w:r>
      <w:r w:rsidRPr="006D7B25">
        <w:rPr>
          <w:b/>
          <w:color w:val="FF0000"/>
          <w:sz w:val="20"/>
          <w:szCs w:val="20"/>
        </w:rPr>
        <w:t xml:space="preserve"> </w:t>
      </w:r>
      <w:bookmarkStart w:id="1" w:name="_Toc101595527"/>
    </w:p>
    <w:p w:rsidR="00F542D9" w:rsidRDefault="00F542D9" w:rsidP="006D7B25">
      <w:pPr>
        <w:pStyle w:val="08BodyText"/>
        <w:spacing w:line="240" w:lineRule="auto"/>
        <w:ind w:firstLine="0"/>
        <w:jc w:val="both"/>
        <w:rPr>
          <w:i/>
          <w:sz w:val="20"/>
        </w:rPr>
      </w:pPr>
    </w:p>
    <w:p w:rsidR="005B33CC" w:rsidRPr="00892E75" w:rsidRDefault="005B33CC" w:rsidP="006D7B25">
      <w:pPr>
        <w:pStyle w:val="08BodyText"/>
        <w:spacing w:line="240" w:lineRule="auto"/>
        <w:ind w:firstLine="0"/>
        <w:jc w:val="both"/>
        <w:rPr>
          <w:i/>
          <w:sz w:val="20"/>
        </w:rPr>
      </w:pPr>
      <w:r w:rsidRPr="00892E75">
        <w:rPr>
          <w:i/>
          <w:sz w:val="20"/>
        </w:rPr>
        <w:t>Reading Tutors</w:t>
      </w:r>
    </w:p>
    <w:p w:rsidR="005B33CC" w:rsidRPr="006D7B25" w:rsidRDefault="005B33CC" w:rsidP="00F542D9">
      <w:pPr>
        <w:pStyle w:val="08BodyText"/>
        <w:spacing w:line="240" w:lineRule="auto"/>
        <w:ind w:firstLine="0"/>
        <w:jc w:val="both"/>
        <w:rPr>
          <w:sz w:val="20"/>
        </w:rPr>
      </w:pPr>
      <w:r w:rsidRPr="006D7B25">
        <w:rPr>
          <w:sz w:val="20"/>
        </w:rPr>
        <w:t xml:space="preserve">Reading tutors were recruited from first year graduate students in the Communication Sciences and Disorders Program of a large southern university who expressed interest in participating in the research study. All reading tutors were females; two had clinical experience at the undergraduate level, one was currently employed as an SLP in the public school system, and three had no previous clinical experience. </w:t>
      </w:r>
    </w:p>
    <w:p w:rsidR="005B33CC" w:rsidRPr="006D7B25" w:rsidRDefault="005B33CC" w:rsidP="006D7B25">
      <w:pPr>
        <w:pStyle w:val="08BodyText"/>
        <w:spacing w:line="240" w:lineRule="auto"/>
        <w:jc w:val="both"/>
        <w:rPr>
          <w:sz w:val="20"/>
        </w:rPr>
      </w:pPr>
    </w:p>
    <w:p w:rsidR="00C539E5" w:rsidRPr="00D50AD8" w:rsidRDefault="00C539E5" w:rsidP="00D50AD8">
      <w:pPr>
        <w:pStyle w:val="10TableText"/>
        <w:jc w:val="center"/>
        <w:rPr>
          <w:b/>
          <w:sz w:val="20"/>
          <w:szCs w:val="20"/>
        </w:rPr>
      </w:pPr>
      <w:r w:rsidRPr="00D50AD8">
        <w:rPr>
          <w:b/>
          <w:sz w:val="20"/>
          <w:szCs w:val="20"/>
        </w:rPr>
        <w:t>Table 2</w:t>
      </w:r>
      <w:r w:rsidR="00D50AD8" w:rsidRPr="00D50AD8">
        <w:rPr>
          <w:b/>
          <w:sz w:val="20"/>
          <w:szCs w:val="20"/>
        </w:rPr>
        <w:t xml:space="preserve">. </w:t>
      </w:r>
      <w:r w:rsidRPr="00D50AD8">
        <w:rPr>
          <w:b/>
          <w:sz w:val="20"/>
          <w:szCs w:val="20"/>
        </w:rPr>
        <w:t>B</w:t>
      </w:r>
      <w:r w:rsidR="004118AD" w:rsidRPr="00D50AD8">
        <w:rPr>
          <w:b/>
          <w:sz w:val="20"/>
          <w:szCs w:val="20"/>
        </w:rPr>
        <w:t>RSS</w:t>
      </w:r>
      <w:r w:rsidRPr="00D50AD8">
        <w:rPr>
          <w:b/>
          <w:sz w:val="20"/>
          <w:szCs w:val="20"/>
        </w:rPr>
        <w:t xml:space="preserve"> </w:t>
      </w:r>
      <w:r w:rsidR="00D64321" w:rsidRPr="00D50AD8">
        <w:rPr>
          <w:b/>
          <w:sz w:val="20"/>
          <w:szCs w:val="20"/>
        </w:rPr>
        <w:t>L</w:t>
      </w:r>
      <w:r w:rsidRPr="00D50AD8">
        <w:rPr>
          <w:b/>
          <w:sz w:val="20"/>
          <w:szCs w:val="20"/>
        </w:rPr>
        <w:t>evels</w:t>
      </w:r>
      <w:bookmarkEnd w:id="1"/>
    </w:p>
    <w:tbl>
      <w:tblPr>
        <w:tblW w:w="0" w:type="auto"/>
        <w:tblLook w:val="01E0"/>
      </w:tblPr>
      <w:tblGrid>
        <w:gridCol w:w="2115"/>
        <w:gridCol w:w="6552"/>
      </w:tblGrid>
      <w:tr w:rsidR="00C539E5" w:rsidRPr="006D7B25" w:rsidTr="00D82C05">
        <w:tc>
          <w:tcPr>
            <w:tcW w:w="2131" w:type="dxa"/>
            <w:tcBorders>
              <w:top w:val="single" w:sz="4" w:space="0" w:color="auto"/>
              <w:bottom w:val="single" w:sz="4" w:space="0" w:color="auto"/>
            </w:tcBorders>
          </w:tcPr>
          <w:p w:rsidR="00C539E5" w:rsidRPr="006D7B25" w:rsidRDefault="00C539E5" w:rsidP="006D7B25">
            <w:pPr>
              <w:pStyle w:val="10TableText"/>
              <w:jc w:val="both"/>
              <w:rPr>
                <w:sz w:val="20"/>
                <w:szCs w:val="20"/>
              </w:rPr>
            </w:pPr>
            <w:r w:rsidRPr="006D7B25">
              <w:rPr>
                <w:sz w:val="20"/>
                <w:szCs w:val="20"/>
              </w:rPr>
              <w:t xml:space="preserve">Barton Levels </w:t>
            </w:r>
          </w:p>
        </w:tc>
        <w:tc>
          <w:tcPr>
            <w:tcW w:w="6617" w:type="dxa"/>
            <w:tcBorders>
              <w:top w:val="single" w:sz="4" w:space="0" w:color="auto"/>
              <w:bottom w:val="single" w:sz="4" w:space="0" w:color="auto"/>
            </w:tcBorders>
          </w:tcPr>
          <w:p w:rsidR="00C539E5" w:rsidRPr="006D7B25" w:rsidRDefault="00C539E5" w:rsidP="006D7B25">
            <w:pPr>
              <w:pStyle w:val="10TableText"/>
              <w:jc w:val="both"/>
              <w:rPr>
                <w:sz w:val="20"/>
                <w:szCs w:val="20"/>
              </w:rPr>
            </w:pPr>
            <w:r w:rsidRPr="006D7B25">
              <w:rPr>
                <w:sz w:val="20"/>
                <w:szCs w:val="20"/>
              </w:rPr>
              <w:t>Name of Level</w:t>
            </w:r>
          </w:p>
        </w:tc>
      </w:tr>
      <w:tr w:rsidR="00C539E5" w:rsidRPr="006D7B25" w:rsidTr="00D82C05">
        <w:tc>
          <w:tcPr>
            <w:tcW w:w="2131" w:type="dxa"/>
            <w:tcBorders>
              <w:top w:val="single" w:sz="4" w:space="0" w:color="auto"/>
            </w:tcBorders>
          </w:tcPr>
          <w:p w:rsidR="00C539E5" w:rsidRPr="006D7B25" w:rsidRDefault="00C539E5" w:rsidP="006D7B25">
            <w:pPr>
              <w:pStyle w:val="10TableText"/>
              <w:jc w:val="both"/>
              <w:rPr>
                <w:sz w:val="20"/>
                <w:szCs w:val="20"/>
              </w:rPr>
            </w:pPr>
            <w:r w:rsidRPr="006D7B25">
              <w:rPr>
                <w:sz w:val="20"/>
                <w:szCs w:val="20"/>
              </w:rPr>
              <w:t>1</w:t>
            </w:r>
          </w:p>
        </w:tc>
        <w:tc>
          <w:tcPr>
            <w:tcW w:w="6617" w:type="dxa"/>
            <w:tcBorders>
              <w:top w:val="single" w:sz="4" w:space="0" w:color="auto"/>
            </w:tcBorders>
          </w:tcPr>
          <w:p w:rsidR="00C539E5" w:rsidRPr="006D7B25" w:rsidRDefault="00C539E5" w:rsidP="006D7B25">
            <w:pPr>
              <w:pStyle w:val="10TableText"/>
              <w:jc w:val="both"/>
              <w:rPr>
                <w:sz w:val="20"/>
                <w:szCs w:val="20"/>
              </w:rPr>
            </w:pPr>
            <w:r w:rsidRPr="006D7B25">
              <w:rPr>
                <w:sz w:val="20"/>
                <w:szCs w:val="20"/>
              </w:rPr>
              <w:t>Phonemic Awareness</w:t>
            </w:r>
          </w:p>
        </w:tc>
      </w:tr>
      <w:tr w:rsidR="00C539E5" w:rsidRPr="006D7B25" w:rsidTr="00D82C05">
        <w:tc>
          <w:tcPr>
            <w:tcW w:w="2131" w:type="dxa"/>
          </w:tcPr>
          <w:p w:rsidR="00C539E5" w:rsidRPr="006D7B25" w:rsidRDefault="00C539E5" w:rsidP="006D7B25">
            <w:pPr>
              <w:pStyle w:val="10TableText"/>
              <w:jc w:val="both"/>
              <w:rPr>
                <w:sz w:val="20"/>
                <w:szCs w:val="20"/>
              </w:rPr>
            </w:pPr>
            <w:r w:rsidRPr="006D7B25">
              <w:rPr>
                <w:sz w:val="20"/>
                <w:szCs w:val="20"/>
              </w:rPr>
              <w:t>2</w:t>
            </w:r>
          </w:p>
        </w:tc>
        <w:tc>
          <w:tcPr>
            <w:tcW w:w="6617" w:type="dxa"/>
          </w:tcPr>
          <w:p w:rsidR="00C539E5" w:rsidRPr="006D7B25" w:rsidRDefault="00C539E5" w:rsidP="006D7B25">
            <w:pPr>
              <w:pStyle w:val="10TableText"/>
              <w:jc w:val="both"/>
              <w:rPr>
                <w:sz w:val="20"/>
                <w:szCs w:val="20"/>
              </w:rPr>
            </w:pPr>
            <w:r w:rsidRPr="006D7B25">
              <w:rPr>
                <w:sz w:val="20"/>
                <w:szCs w:val="20"/>
              </w:rPr>
              <w:t>Consonants and Short Vowels</w:t>
            </w:r>
          </w:p>
        </w:tc>
      </w:tr>
      <w:tr w:rsidR="00C539E5" w:rsidRPr="006D7B25" w:rsidTr="00D82C05">
        <w:tc>
          <w:tcPr>
            <w:tcW w:w="2131" w:type="dxa"/>
          </w:tcPr>
          <w:p w:rsidR="00C539E5" w:rsidRPr="006D7B25" w:rsidRDefault="00C539E5" w:rsidP="006D7B25">
            <w:pPr>
              <w:pStyle w:val="10TableText"/>
              <w:jc w:val="both"/>
              <w:rPr>
                <w:sz w:val="20"/>
                <w:szCs w:val="20"/>
              </w:rPr>
            </w:pPr>
            <w:r w:rsidRPr="006D7B25">
              <w:rPr>
                <w:sz w:val="20"/>
                <w:szCs w:val="20"/>
              </w:rPr>
              <w:t>3</w:t>
            </w:r>
          </w:p>
        </w:tc>
        <w:tc>
          <w:tcPr>
            <w:tcW w:w="6617" w:type="dxa"/>
          </w:tcPr>
          <w:p w:rsidR="00C539E5" w:rsidRPr="006D7B25" w:rsidRDefault="00C539E5" w:rsidP="006D7B25">
            <w:pPr>
              <w:pStyle w:val="10TableText"/>
              <w:jc w:val="both"/>
              <w:rPr>
                <w:sz w:val="20"/>
                <w:szCs w:val="20"/>
              </w:rPr>
            </w:pPr>
            <w:r w:rsidRPr="006D7B25">
              <w:rPr>
                <w:sz w:val="20"/>
                <w:szCs w:val="20"/>
              </w:rPr>
              <w:t>Closed and Unit Syllables</w:t>
            </w:r>
          </w:p>
        </w:tc>
      </w:tr>
      <w:tr w:rsidR="00C539E5" w:rsidRPr="006D7B25" w:rsidTr="00D82C05">
        <w:tc>
          <w:tcPr>
            <w:tcW w:w="2131" w:type="dxa"/>
          </w:tcPr>
          <w:p w:rsidR="00C539E5" w:rsidRPr="006D7B25" w:rsidRDefault="00C539E5" w:rsidP="006D7B25">
            <w:pPr>
              <w:pStyle w:val="10TableText"/>
              <w:jc w:val="both"/>
              <w:rPr>
                <w:sz w:val="20"/>
                <w:szCs w:val="20"/>
              </w:rPr>
            </w:pPr>
            <w:r w:rsidRPr="006D7B25">
              <w:rPr>
                <w:sz w:val="20"/>
                <w:szCs w:val="20"/>
              </w:rPr>
              <w:t>4</w:t>
            </w:r>
          </w:p>
        </w:tc>
        <w:tc>
          <w:tcPr>
            <w:tcW w:w="6617" w:type="dxa"/>
          </w:tcPr>
          <w:p w:rsidR="00C539E5" w:rsidRPr="006D7B25" w:rsidRDefault="00C539E5" w:rsidP="006D7B25">
            <w:pPr>
              <w:pStyle w:val="10TableText"/>
              <w:jc w:val="both"/>
              <w:rPr>
                <w:sz w:val="20"/>
                <w:szCs w:val="20"/>
              </w:rPr>
            </w:pPr>
            <w:r w:rsidRPr="006D7B25">
              <w:rPr>
                <w:sz w:val="20"/>
                <w:szCs w:val="20"/>
              </w:rPr>
              <w:t>Multi-Syllable Words and Vowel Teams</w:t>
            </w:r>
          </w:p>
        </w:tc>
      </w:tr>
      <w:tr w:rsidR="00C539E5" w:rsidRPr="006D7B25" w:rsidTr="00D82C05">
        <w:tc>
          <w:tcPr>
            <w:tcW w:w="2131" w:type="dxa"/>
          </w:tcPr>
          <w:p w:rsidR="00C539E5" w:rsidRPr="006D7B25" w:rsidRDefault="00C539E5" w:rsidP="006D7B25">
            <w:pPr>
              <w:pStyle w:val="10TableText"/>
              <w:jc w:val="both"/>
              <w:rPr>
                <w:sz w:val="20"/>
                <w:szCs w:val="20"/>
              </w:rPr>
            </w:pPr>
            <w:r w:rsidRPr="006D7B25">
              <w:rPr>
                <w:sz w:val="20"/>
                <w:szCs w:val="20"/>
              </w:rPr>
              <w:t>5</w:t>
            </w:r>
          </w:p>
        </w:tc>
        <w:tc>
          <w:tcPr>
            <w:tcW w:w="6617" w:type="dxa"/>
          </w:tcPr>
          <w:p w:rsidR="00C539E5" w:rsidRPr="006D7B25" w:rsidRDefault="00C539E5" w:rsidP="006D7B25">
            <w:pPr>
              <w:pStyle w:val="10TableText"/>
              <w:jc w:val="both"/>
              <w:rPr>
                <w:sz w:val="20"/>
                <w:szCs w:val="20"/>
              </w:rPr>
            </w:pPr>
            <w:r w:rsidRPr="006D7B25">
              <w:rPr>
                <w:sz w:val="20"/>
                <w:szCs w:val="20"/>
              </w:rPr>
              <w:t>Prefixes and Suffixes</w:t>
            </w:r>
          </w:p>
        </w:tc>
      </w:tr>
      <w:tr w:rsidR="00C539E5" w:rsidRPr="006D7B25" w:rsidTr="00D82C05">
        <w:tc>
          <w:tcPr>
            <w:tcW w:w="2131" w:type="dxa"/>
          </w:tcPr>
          <w:p w:rsidR="00C539E5" w:rsidRPr="006D7B25" w:rsidRDefault="00C539E5" w:rsidP="006D7B25">
            <w:pPr>
              <w:pStyle w:val="10TableText"/>
              <w:jc w:val="both"/>
              <w:rPr>
                <w:sz w:val="20"/>
                <w:szCs w:val="20"/>
              </w:rPr>
            </w:pPr>
            <w:r w:rsidRPr="006D7B25">
              <w:rPr>
                <w:sz w:val="20"/>
                <w:szCs w:val="20"/>
              </w:rPr>
              <w:t>6</w:t>
            </w:r>
          </w:p>
        </w:tc>
        <w:tc>
          <w:tcPr>
            <w:tcW w:w="6617" w:type="dxa"/>
          </w:tcPr>
          <w:p w:rsidR="00C539E5" w:rsidRPr="006D7B25" w:rsidRDefault="00C539E5" w:rsidP="006D7B25">
            <w:pPr>
              <w:pStyle w:val="10TableText"/>
              <w:jc w:val="both"/>
              <w:rPr>
                <w:sz w:val="20"/>
                <w:szCs w:val="20"/>
              </w:rPr>
            </w:pPr>
            <w:r w:rsidRPr="006D7B25">
              <w:rPr>
                <w:sz w:val="20"/>
                <w:szCs w:val="20"/>
              </w:rPr>
              <w:t>Six Reasons for Silent E</w:t>
            </w:r>
          </w:p>
        </w:tc>
      </w:tr>
      <w:tr w:rsidR="00C539E5" w:rsidRPr="006D7B25" w:rsidTr="00D82C05">
        <w:tc>
          <w:tcPr>
            <w:tcW w:w="2131" w:type="dxa"/>
          </w:tcPr>
          <w:p w:rsidR="00C539E5" w:rsidRPr="006D7B25" w:rsidRDefault="00C539E5" w:rsidP="006D7B25">
            <w:pPr>
              <w:pStyle w:val="10TableText"/>
              <w:jc w:val="both"/>
              <w:rPr>
                <w:sz w:val="20"/>
                <w:szCs w:val="20"/>
              </w:rPr>
            </w:pPr>
            <w:r w:rsidRPr="006D7B25">
              <w:rPr>
                <w:sz w:val="20"/>
                <w:szCs w:val="20"/>
              </w:rPr>
              <w:t>7</w:t>
            </w:r>
          </w:p>
        </w:tc>
        <w:tc>
          <w:tcPr>
            <w:tcW w:w="6617" w:type="dxa"/>
          </w:tcPr>
          <w:p w:rsidR="00C539E5" w:rsidRPr="006D7B25" w:rsidRDefault="00C539E5" w:rsidP="006D7B25">
            <w:pPr>
              <w:pStyle w:val="10TableText"/>
              <w:jc w:val="both"/>
              <w:rPr>
                <w:sz w:val="20"/>
                <w:szCs w:val="20"/>
              </w:rPr>
            </w:pPr>
            <w:r w:rsidRPr="006D7B25">
              <w:rPr>
                <w:sz w:val="20"/>
                <w:szCs w:val="20"/>
              </w:rPr>
              <w:t>Vowel-R’s</w:t>
            </w:r>
          </w:p>
        </w:tc>
      </w:tr>
      <w:tr w:rsidR="00C539E5" w:rsidRPr="006D7B25" w:rsidTr="00D82C05">
        <w:tc>
          <w:tcPr>
            <w:tcW w:w="2131" w:type="dxa"/>
          </w:tcPr>
          <w:p w:rsidR="00C539E5" w:rsidRPr="006D7B25" w:rsidRDefault="00C539E5" w:rsidP="006D7B25">
            <w:pPr>
              <w:pStyle w:val="10TableText"/>
              <w:jc w:val="both"/>
              <w:rPr>
                <w:sz w:val="20"/>
                <w:szCs w:val="20"/>
              </w:rPr>
            </w:pPr>
            <w:r w:rsidRPr="006D7B25">
              <w:rPr>
                <w:sz w:val="20"/>
                <w:szCs w:val="20"/>
              </w:rPr>
              <w:t>8</w:t>
            </w:r>
          </w:p>
        </w:tc>
        <w:tc>
          <w:tcPr>
            <w:tcW w:w="6617" w:type="dxa"/>
          </w:tcPr>
          <w:p w:rsidR="00C539E5" w:rsidRPr="006D7B25" w:rsidRDefault="00C539E5" w:rsidP="006D7B25">
            <w:pPr>
              <w:pStyle w:val="10TableText"/>
              <w:jc w:val="both"/>
              <w:rPr>
                <w:sz w:val="20"/>
                <w:szCs w:val="20"/>
              </w:rPr>
            </w:pPr>
            <w:r w:rsidRPr="006D7B25">
              <w:rPr>
                <w:sz w:val="20"/>
                <w:szCs w:val="20"/>
              </w:rPr>
              <w:t>Advanced Vowel Teams</w:t>
            </w:r>
          </w:p>
        </w:tc>
      </w:tr>
      <w:tr w:rsidR="00C539E5" w:rsidRPr="006D7B25" w:rsidTr="00D82C05">
        <w:tc>
          <w:tcPr>
            <w:tcW w:w="2131" w:type="dxa"/>
          </w:tcPr>
          <w:p w:rsidR="00C539E5" w:rsidRPr="006D7B25" w:rsidRDefault="00C539E5" w:rsidP="006D7B25">
            <w:pPr>
              <w:pStyle w:val="10TableText"/>
              <w:jc w:val="both"/>
              <w:rPr>
                <w:sz w:val="20"/>
                <w:szCs w:val="20"/>
              </w:rPr>
            </w:pPr>
            <w:r w:rsidRPr="006D7B25">
              <w:rPr>
                <w:sz w:val="20"/>
                <w:szCs w:val="20"/>
              </w:rPr>
              <w:t>9</w:t>
            </w:r>
          </w:p>
        </w:tc>
        <w:tc>
          <w:tcPr>
            <w:tcW w:w="6617" w:type="dxa"/>
          </w:tcPr>
          <w:p w:rsidR="00C539E5" w:rsidRPr="006D7B25" w:rsidRDefault="00C539E5" w:rsidP="006D7B25">
            <w:pPr>
              <w:pStyle w:val="10TableText"/>
              <w:jc w:val="both"/>
              <w:rPr>
                <w:sz w:val="20"/>
                <w:szCs w:val="20"/>
              </w:rPr>
            </w:pPr>
            <w:r w:rsidRPr="006D7B25">
              <w:rPr>
                <w:sz w:val="20"/>
                <w:szCs w:val="20"/>
              </w:rPr>
              <w:t>Influence of Foreign Languages</w:t>
            </w:r>
          </w:p>
        </w:tc>
      </w:tr>
      <w:tr w:rsidR="00C539E5" w:rsidRPr="006D7B25" w:rsidTr="00D82C05">
        <w:tc>
          <w:tcPr>
            <w:tcW w:w="2131" w:type="dxa"/>
            <w:tcBorders>
              <w:bottom w:val="single" w:sz="4" w:space="0" w:color="auto"/>
            </w:tcBorders>
          </w:tcPr>
          <w:p w:rsidR="00C539E5" w:rsidRPr="006D7B25" w:rsidRDefault="00C539E5" w:rsidP="006D7B25">
            <w:pPr>
              <w:pStyle w:val="10TableText"/>
              <w:jc w:val="both"/>
              <w:rPr>
                <w:sz w:val="20"/>
                <w:szCs w:val="20"/>
              </w:rPr>
            </w:pPr>
            <w:r w:rsidRPr="006D7B25">
              <w:rPr>
                <w:sz w:val="20"/>
                <w:szCs w:val="20"/>
              </w:rPr>
              <w:t>10</w:t>
            </w:r>
          </w:p>
        </w:tc>
        <w:tc>
          <w:tcPr>
            <w:tcW w:w="6617" w:type="dxa"/>
            <w:tcBorders>
              <w:bottom w:val="single" w:sz="4" w:space="0" w:color="auto"/>
            </w:tcBorders>
          </w:tcPr>
          <w:p w:rsidR="00C539E5" w:rsidRPr="006D7B25" w:rsidRDefault="00C539E5" w:rsidP="006D7B25">
            <w:pPr>
              <w:pStyle w:val="10TableText"/>
              <w:jc w:val="both"/>
              <w:rPr>
                <w:sz w:val="20"/>
                <w:szCs w:val="20"/>
              </w:rPr>
            </w:pPr>
            <w:r w:rsidRPr="006D7B25">
              <w:rPr>
                <w:sz w:val="20"/>
                <w:szCs w:val="20"/>
              </w:rPr>
              <w:t>Latin Roots and Greek Combining Forms</w:t>
            </w:r>
          </w:p>
        </w:tc>
      </w:tr>
    </w:tbl>
    <w:p w:rsidR="009531CE" w:rsidRPr="006D7B25" w:rsidRDefault="009531CE" w:rsidP="006D7B25">
      <w:pPr>
        <w:pStyle w:val="08BodyText"/>
        <w:spacing w:line="240" w:lineRule="auto"/>
        <w:ind w:firstLine="0"/>
        <w:jc w:val="both"/>
        <w:rPr>
          <w:b/>
          <w:i/>
          <w:sz w:val="20"/>
        </w:rPr>
      </w:pPr>
    </w:p>
    <w:p w:rsidR="00F6403B" w:rsidRPr="006D7B25" w:rsidRDefault="00F6403B" w:rsidP="00F542D9">
      <w:pPr>
        <w:pStyle w:val="08BodyText"/>
        <w:spacing w:line="240" w:lineRule="auto"/>
        <w:ind w:firstLine="0"/>
        <w:jc w:val="both"/>
        <w:rPr>
          <w:b/>
          <w:sz w:val="20"/>
        </w:rPr>
      </w:pPr>
      <w:r w:rsidRPr="006D7B25">
        <w:rPr>
          <w:sz w:val="20"/>
        </w:rPr>
        <w:t xml:space="preserve">Tutors </w:t>
      </w:r>
      <w:r w:rsidR="000550FD" w:rsidRPr="006D7B25">
        <w:rPr>
          <w:sz w:val="20"/>
        </w:rPr>
        <w:t>were</w:t>
      </w:r>
      <w:r w:rsidRPr="006D7B25">
        <w:rPr>
          <w:sz w:val="20"/>
        </w:rPr>
        <w:t xml:space="preserve"> trained through a series of </w:t>
      </w:r>
      <w:r w:rsidR="00413546" w:rsidRPr="006D7B25">
        <w:rPr>
          <w:sz w:val="20"/>
        </w:rPr>
        <w:t xml:space="preserve">BRSS </w:t>
      </w:r>
      <w:r w:rsidRPr="006D7B25">
        <w:rPr>
          <w:sz w:val="20"/>
        </w:rPr>
        <w:t>instructional video tapes.  The introductory tapes describe the nature of reading disability and provide an example of what is taught in the program and how it is taught</w:t>
      </w:r>
      <w:r w:rsidR="006D27BD" w:rsidRPr="006D7B25">
        <w:rPr>
          <w:sz w:val="20"/>
        </w:rPr>
        <w:t xml:space="preserve">, concluding </w:t>
      </w:r>
      <w:r w:rsidRPr="006D7B25">
        <w:rPr>
          <w:sz w:val="20"/>
        </w:rPr>
        <w:t xml:space="preserve">with the Tutor and Student Screenings. All graduate clinicians who acted as tutors and two additional student research assistants had to pass the tutor screening and participate in the tutor training sessions. To pass the tutor screening, they </w:t>
      </w:r>
      <w:r w:rsidR="006D27BD" w:rsidRPr="006D7B25">
        <w:rPr>
          <w:sz w:val="20"/>
        </w:rPr>
        <w:t xml:space="preserve">had to </w:t>
      </w:r>
      <w:r w:rsidRPr="006D7B25">
        <w:rPr>
          <w:sz w:val="20"/>
        </w:rPr>
        <w:t xml:space="preserve">demonstrate a minimal level of phonological awareness by breaking words down into their smallest sounds, manipulating sounds in words, deleting sounds, and blending individual sounds into words. </w:t>
      </w:r>
    </w:p>
    <w:p w:rsidR="00F542D9" w:rsidRDefault="00F542D9" w:rsidP="00F542D9">
      <w:pPr>
        <w:pStyle w:val="08BodyText"/>
        <w:spacing w:line="240" w:lineRule="auto"/>
        <w:ind w:firstLine="0"/>
        <w:jc w:val="both"/>
        <w:rPr>
          <w:sz w:val="20"/>
        </w:rPr>
      </w:pPr>
    </w:p>
    <w:p w:rsidR="00F6403B" w:rsidRPr="006D7B25" w:rsidRDefault="00F6403B" w:rsidP="00F542D9">
      <w:pPr>
        <w:pStyle w:val="08BodyText"/>
        <w:spacing w:line="240" w:lineRule="auto"/>
        <w:ind w:firstLine="0"/>
        <w:jc w:val="both"/>
        <w:rPr>
          <w:sz w:val="20"/>
        </w:rPr>
      </w:pPr>
      <w:r w:rsidRPr="006D7B25">
        <w:rPr>
          <w:sz w:val="20"/>
        </w:rPr>
        <w:t xml:space="preserve">A total of nine training sessions and 27 training hours occurred. In the training tapes, BRSS explains a spelling or reading rule then demonstrates the procedures used to teach the rule by role-playing with a demonstration student.  After the demonstration, BRSS encourages the viewer to stop the tape and practice the procedure with a partner; this protocol was followed in the tutor training. For the current study, the reading tutors and research assistants paired-up with each other to practice the procedures and took turns being the tutor and the student. The first author observed the role-playing and provided guidance when questions arose. The training tapes were always available to the tutors after the required training sessions were completed in the event that the tutors felt unsure of a procedure and/or wanted extra practice. </w:t>
      </w:r>
    </w:p>
    <w:p w:rsidR="00F542D9" w:rsidRDefault="00F542D9" w:rsidP="00F542D9">
      <w:pPr>
        <w:pStyle w:val="08BodyText"/>
        <w:spacing w:line="240" w:lineRule="auto"/>
        <w:ind w:firstLine="0"/>
        <w:jc w:val="both"/>
        <w:rPr>
          <w:sz w:val="20"/>
        </w:rPr>
      </w:pPr>
    </w:p>
    <w:p w:rsidR="005A1285" w:rsidRPr="006D7B25" w:rsidRDefault="005A1285" w:rsidP="00F542D9">
      <w:pPr>
        <w:pStyle w:val="08BodyText"/>
        <w:spacing w:line="240" w:lineRule="auto"/>
        <w:ind w:firstLine="0"/>
        <w:jc w:val="both"/>
        <w:rPr>
          <w:sz w:val="20"/>
        </w:rPr>
      </w:pPr>
      <w:r w:rsidRPr="006D7B25">
        <w:rPr>
          <w:sz w:val="20"/>
        </w:rPr>
        <w:t xml:space="preserve">To determine </w:t>
      </w:r>
      <w:r w:rsidR="00602C61" w:rsidRPr="006D7B25">
        <w:rPr>
          <w:sz w:val="20"/>
        </w:rPr>
        <w:t xml:space="preserve">the </w:t>
      </w:r>
      <w:r w:rsidRPr="006D7B25">
        <w:rPr>
          <w:sz w:val="20"/>
        </w:rPr>
        <w:t xml:space="preserve">level </w:t>
      </w:r>
      <w:r w:rsidR="00602C61" w:rsidRPr="006D7B25">
        <w:rPr>
          <w:sz w:val="20"/>
        </w:rPr>
        <w:t xml:space="preserve">at which </w:t>
      </w:r>
      <w:r w:rsidRPr="006D7B25">
        <w:rPr>
          <w:sz w:val="20"/>
        </w:rPr>
        <w:t>the tutor should begin tutoring, the tutor gave her student a pre-test</w:t>
      </w:r>
      <w:r w:rsidR="00602C61" w:rsidRPr="006D7B25">
        <w:rPr>
          <w:sz w:val="20"/>
        </w:rPr>
        <w:t xml:space="preserve"> since the </w:t>
      </w:r>
      <w:r w:rsidRPr="006D7B25">
        <w:rPr>
          <w:sz w:val="20"/>
        </w:rPr>
        <w:t xml:space="preserve">BRSS recognizes that some older students may possess enough knowledge to skip the first two levels. Strict pass/fail criteria, as </w:t>
      </w:r>
      <w:r w:rsidR="00413546" w:rsidRPr="006D7B25">
        <w:rPr>
          <w:sz w:val="20"/>
        </w:rPr>
        <w:t xml:space="preserve">prescribed </w:t>
      </w:r>
      <w:r w:rsidRPr="006D7B25">
        <w:rPr>
          <w:sz w:val="20"/>
        </w:rPr>
        <w:t xml:space="preserve">by </w:t>
      </w:r>
      <w:r w:rsidR="00413546" w:rsidRPr="006D7B25">
        <w:rPr>
          <w:sz w:val="20"/>
        </w:rPr>
        <w:t xml:space="preserve">BRSS, </w:t>
      </w:r>
      <w:r w:rsidRPr="006D7B25">
        <w:rPr>
          <w:sz w:val="20"/>
        </w:rPr>
        <w:t xml:space="preserve">were followed to determine a student’s starting level.  </w:t>
      </w:r>
    </w:p>
    <w:p w:rsidR="00F542D9" w:rsidRDefault="00F542D9" w:rsidP="00F542D9">
      <w:pPr>
        <w:pStyle w:val="08BodyText"/>
        <w:spacing w:line="240" w:lineRule="auto"/>
        <w:ind w:firstLine="0"/>
        <w:jc w:val="both"/>
        <w:rPr>
          <w:sz w:val="20"/>
        </w:rPr>
      </w:pPr>
    </w:p>
    <w:p w:rsidR="005A1285" w:rsidRPr="006D7B25" w:rsidRDefault="005A1285" w:rsidP="00F542D9">
      <w:pPr>
        <w:pStyle w:val="08BodyText"/>
        <w:spacing w:line="240" w:lineRule="auto"/>
        <w:ind w:firstLine="0"/>
        <w:jc w:val="both"/>
        <w:rPr>
          <w:sz w:val="20"/>
        </w:rPr>
      </w:pPr>
      <w:r w:rsidRPr="006D7B25">
        <w:rPr>
          <w:sz w:val="20"/>
        </w:rPr>
        <w:t>The Level 1 pre-test contained four tasks: Task A: Break-Apart Nonsense Words; Task B: Break-Replace-Remove; Task C: Compare Two Words; and Task D: Blend 2 and 3 Sounds into Real Words. A student who completed all four tasks with 100% accuracy was deemed to have sufficient knowledge to skip Level 1 entirely. Before a student could move on to the next task, he had to meet pass criteria of zero or one error for that task  The pre-test was stopped when the student missed two or more items and tutoring began with the lesson that corresponded with the given task.</w:t>
      </w:r>
    </w:p>
    <w:p w:rsidR="00F542D9" w:rsidRDefault="00F542D9" w:rsidP="00F542D9">
      <w:pPr>
        <w:pStyle w:val="08BodyText"/>
        <w:spacing w:line="240" w:lineRule="auto"/>
        <w:ind w:firstLine="0"/>
        <w:jc w:val="both"/>
        <w:rPr>
          <w:sz w:val="20"/>
        </w:rPr>
      </w:pPr>
    </w:p>
    <w:p w:rsidR="005A1285" w:rsidRPr="006D7B25" w:rsidRDefault="005A1285" w:rsidP="00F542D9">
      <w:pPr>
        <w:pStyle w:val="08BodyText"/>
        <w:spacing w:line="240" w:lineRule="auto"/>
        <w:ind w:firstLine="0"/>
        <w:jc w:val="both"/>
        <w:rPr>
          <w:sz w:val="20"/>
        </w:rPr>
      </w:pPr>
      <w:r w:rsidRPr="006D7B25">
        <w:rPr>
          <w:sz w:val="20"/>
        </w:rPr>
        <w:t xml:space="preserve">The Level 2 pre-test contained six tasks: Task A: Test of Letter Name and Sound Knowledge; Task B: Spelling Individual Sounds on Paper; Task C: Identifying First, Last, and Middle Sounds; Task D: Read These Words; Task E: Spelling Real and Nonsense Words on Paper; and Task F: Read these Sentences. Different pass/fail criteria were used for Level 2. Both Task A and Task B were given, regardless of the number of errors a student made on Task A; the tutor continued with Task C only if a student made no errors on either Task A or B. If a student misread two consonants or two digraphs on Task D, Read These Words, the tutor began with Lesson 5 of Level 2. If a student misread one or more vowels and the vowels were </w:t>
      </w:r>
      <w:r w:rsidR="00C500BD" w:rsidRPr="006D7B25">
        <w:rPr>
          <w:sz w:val="20"/>
        </w:rPr>
        <w:t>/</w:t>
      </w:r>
      <w:r w:rsidRPr="006D7B25">
        <w:rPr>
          <w:sz w:val="20"/>
        </w:rPr>
        <w:t>a</w:t>
      </w:r>
      <w:r w:rsidR="00C500BD" w:rsidRPr="006D7B25">
        <w:rPr>
          <w:sz w:val="20"/>
        </w:rPr>
        <w:t>/</w:t>
      </w:r>
      <w:r w:rsidR="00121D34" w:rsidRPr="006D7B25">
        <w:rPr>
          <w:sz w:val="20"/>
        </w:rPr>
        <w:t xml:space="preserve"> as in </w:t>
      </w:r>
      <w:r w:rsidR="00601444" w:rsidRPr="00A60BF1">
        <w:rPr>
          <w:i/>
          <w:sz w:val="20"/>
        </w:rPr>
        <w:t>apple</w:t>
      </w:r>
      <w:r w:rsidRPr="006D7B25">
        <w:rPr>
          <w:i/>
          <w:sz w:val="20"/>
        </w:rPr>
        <w:t>,</w:t>
      </w:r>
      <w:r w:rsidR="000E02D9" w:rsidRPr="006D7B25">
        <w:rPr>
          <w:i/>
          <w:sz w:val="20"/>
        </w:rPr>
        <w:t xml:space="preserve"> </w:t>
      </w:r>
      <w:r w:rsidR="00C500BD" w:rsidRPr="006D7B25">
        <w:rPr>
          <w:sz w:val="20"/>
        </w:rPr>
        <w:t>/</w:t>
      </w:r>
      <w:r w:rsidR="00601444" w:rsidRPr="006D7B25">
        <w:rPr>
          <w:sz w:val="20"/>
        </w:rPr>
        <w:t>I</w:t>
      </w:r>
      <w:r w:rsidR="007F3EAB" w:rsidRPr="006D7B25">
        <w:rPr>
          <w:sz w:val="20"/>
        </w:rPr>
        <w:t xml:space="preserve">/ as in </w:t>
      </w:r>
      <w:r w:rsidR="00601444" w:rsidRPr="00A60BF1">
        <w:rPr>
          <w:i/>
          <w:sz w:val="20"/>
        </w:rPr>
        <w:t>itchy</w:t>
      </w:r>
      <w:r w:rsidRPr="006D7B25">
        <w:rPr>
          <w:i/>
          <w:sz w:val="20"/>
        </w:rPr>
        <w:t xml:space="preserve">, </w:t>
      </w:r>
      <w:r w:rsidRPr="006D7B25">
        <w:rPr>
          <w:sz w:val="20"/>
        </w:rPr>
        <w:t>or</w:t>
      </w:r>
      <w:r w:rsidRPr="006D7B25">
        <w:rPr>
          <w:i/>
          <w:sz w:val="20"/>
        </w:rPr>
        <w:t xml:space="preserve"> </w:t>
      </w:r>
      <w:r w:rsidR="00C500BD" w:rsidRPr="006D7B25">
        <w:rPr>
          <w:sz w:val="20"/>
        </w:rPr>
        <w:t>/</w:t>
      </w:r>
      <w:r w:rsidRPr="006D7B25">
        <w:rPr>
          <w:sz w:val="20"/>
        </w:rPr>
        <w:t>o</w:t>
      </w:r>
      <w:r w:rsidR="00C500BD" w:rsidRPr="006D7B25">
        <w:rPr>
          <w:sz w:val="20"/>
        </w:rPr>
        <w:t>/</w:t>
      </w:r>
      <w:r w:rsidR="00064CD1" w:rsidRPr="006D7B25">
        <w:rPr>
          <w:sz w:val="20"/>
        </w:rPr>
        <w:t xml:space="preserve"> as in </w:t>
      </w:r>
      <w:r w:rsidR="00601444" w:rsidRPr="00A60BF1">
        <w:rPr>
          <w:i/>
          <w:sz w:val="20"/>
        </w:rPr>
        <w:t>olive</w:t>
      </w:r>
      <w:r w:rsidRPr="006D7B25">
        <w:rPr>
          <w:sz w:val="20"/>
        </w:rPr>
        <w:t xml:space="preserve">, the tutor began with Lesson 3; if the vowels were </w:t>
      </w:r>
      <w:r w:rsidR="00996C3D" w:rsidRPr="006D7B25">
        <w:rPr>
          <w:sz w:val="20"/>
        </w:rPr>
        <w:t>/</w:t>
      </w:r>
      <w:r w:rsidRPr="006D7B25">
        <w:rPr>
          <w:sz w:val="20"/>
        </w:rPr>
        <w:t>u</w:t>
      </w:r>
      <w:r w:rsidR="00996C3D" w:rsidRPr="006D7B25">
        <w:rPr>
          <w:sz w:val="20"/>
        </w:rPr>
        <w:t>/</w:t>
      </w:r>
      <w:r w:rsidRPr="006D7B25">
        <w:rPr>
          <w:sz w:val="20"/>
        </w:rPr>
        <w:t xml:space="preserve"> </w:t>
      </w:r>
      <w:r w:rsidR="00A60BF1">
        <w:rPr>
          <w:sz w:val="20"/>
        </w:rPr>
        <w:t xml:space="preserve">as in </w:t>
      </w:r>
      <w:r w:rsidR="00601444" w:rsidRPr="00A60BF1">
        <w:rPr>
          <w:i/>
          <w:sz w:val="20"/>
        </w:rPr>
        <w:t>uncle</w:t>
      </w:r>
      <w:r w:rsidR="00601444" w:rsidRPr="006D7B25">
        <w:rPr>
          <w:sz w:val="20"/>
        </w:rPr>
        <w:t xml:space="preserve"> </w:t>
      </w:r>
      <w:r w:rsidRPr="006D7B25">
        <w:rPr>
          <w:sz w:val="20"/>
        </w:rPr>
        <w:t xml:space="preserve">or </w:t>
      </w:r>
      <w:r w:rsidR="00996C3D" w:rsidRPr="006D7B25">
        <w:rPr>
          <w:sz w:val="20"/>
        </w:rPr>
        <w:t>/</w:t>
      </w:r>
      <w:r w:rsidRPr="006D7B25">
        <w:rPr>
          <w:sz w:val="20"/>
        </w:rPr>
        <w:t>e</w:t>
      </w:r>
      <w:r w:rsidR="00996C3D" w:rsidRPr="006D7B25">
        <w:rPr>
          <w:sz w:val="20"/>
        </w:rPr>
        <w:t xml:space="preserve">/ </w:t>
      </w:r>
      <w:r w:rsidR="00D61326" w:rsidRPr="006D7B25">
        <w:rPr>
          <w:sz w:val="20"/>
        </w:rPr>
        <w:t xml:space="preserve">as in </w:t>
      </w:r>
      <w:r w:rsidR="00601444" w:rsidRPr="00A60BF1">
        <w:rPr>
          <w:i/>
          <w:sz w:val="20"/>
        </w:rPr>
        <w:t>Eddy</w:t>
      </w:r>
      <w:r w:rsidR="001C15FF" w:rsidRPr="006D7B25">
        <w:rPr>
          <w:sz w:val="20"/>
        </w:rPr>
        <w:t xml:space="preserve"> </w:t>
      </w:r>
      <w:r w:rsidRPr="006D7B25">
        <w:rPr>
          <w:sz w:val="20"/>
        </w:rPr>
        <w:t xml:space="preserve">the tutor began with Lesson 4. If a student incorrectly spelled a consonant or vowel on Task E, tutoring began with Lesson 3; if a student incorrectly spelled only a digraph, tutoring began with Lesson 5. Finally, if a student made it to Task F, Read These Sentences, and made more than 3 mistakes, including re-readings, or read in a choppy manner, the tutor began with Lesson 5 in Level 2. Based on the pre-testing protocol, five </w:t>
      </w:r>
      <w:r w:rsidR="00870BD3" w:rsidRPr="006D7B25">
        <w:rPr>
          <w:sz w:val="20"/>
        </w:rPr>
        <w:t>students</w:t>
      </w:r>
      <w:r w:rsidRPr="006D7B25">
        <w:rPr>
          <w:sz w:val="20"/>
        </w:rPr>
        <w:t xml:space="preserve"> began tutoring at Level 1, Lesson 1, one </w:t>
      </w:r>
      <w:r w:rsidR="00870BD3" w:rsidRPr="006D7B25">
        <w:rPr>
          <w:sz w:val="20"/>
        </w:rPr>
        <w:t xml:space="preserve">student </w:t>
      </w:r>
      <w:r w:rsidRPr="006D7B25">
        <w:rPr>
          <w:sz w:val="20"/>
        </w:rPr>
        <w:t xml:space="preserve">began tutoring at Level 1, Lesson 3, two </w:t>
      </w:r>
      <w:r w:rsidR="00870BD3" w:rsidRPr="006D7B25">
        <w:rPr>
          <w:sz w:val="20"/>
        </w:rPr>
        <w:t xml:space="preserve">students </w:t>
      </w:r>
      <w:r w:rsidRPr="006D7B25">
        <w:rPr>
          <w:sz w:val="20"/>
        </w:rPr>
        <w:t xml:space="preserve">began at Level 2, Lesson 1, and one </w:t>
      </w:r>
      <w:r w:rsidR="00870BD3" w:rsidRPr="006D7B25">
        <w:rPr>
          <w:sz w:val="20"/>
        </w:rPr>
        <w:t xml:space="preserve">student </w:t>
      </w:r>
      <w:r w:rsidRPr="006D7B25">
        <w:rPr>
          <w:sz w:val="20"/>
        </w:rPr>
        <w:t xml:space="preserve">began at Level 2, Lesson 2. </w:t>
      </w:r>
    </w:p>
    <w:p w:rsidR="00F542D9" w:rsidRDefault="00F542D9" w:rsidP="00F542D9">
      <w:pPr>
        <w:pStyle w:val="08BodyText"/>
        <w:spacing w:line="240" w:lineRule="auto"/>
        <w:ind w:firstLine="0"/>
        <w:jc w:val="both"/>
        <w:rPr>
          <w:sz w:val="20"/>
        </w:rPr>
      </w:pPr>
    </w:p>
    <w:p w:rsidR="00CD08DE" w:rsidRPr="006D7B25" w:rsidRDefault="00CD08DE" w:rsidP="00F542D9">
      <w:pPr>
        <w:pStyle w:val="08BodyText"/>
        <w:spacing w:line="240" w:lineRule="auto"/>
        <w:ind w:firstLine="0"/>
        <w:jc w:val="both"/>
        <w:rPr>
          <w:sz w:val="20"/>
        </w:rPr>
      </w:pPr>
      <w:r w:rsidRPr="006D7B25">
        <w:rPr>
          <w:sz w:val="20"/>
        </w:rPr>
        <w:t>To introduce a new spelling, reading, or syllable division rule, the tutor built words with tiles that illustrated the rule and guided the student dialogue so that the student discovered the rule on his</w:t>
      </w:r>
      <w:r w:rsidR="00300239" w:rsidRPr="006D7B25">
        <w:rPr>
          <w:sz w:val="20"/>
        </w:rPr>
        <w:t xml:space="preserve"> </w:t>
      </w:r>
      <w:r w:rsidRPr="006D7B25">
        <w:rPr>
          <w:sz w:val="20"/>
        </w:rPr>
        <w:t>own.  Once a rule had been introduced, the student practiced the rule by building and reading a variety of words in which the rule applies. The tutor always asked the student if there were any sounds or letters the student needed help with. If the student was sure of his work, he</w:t>
      </w:r>
      <w:r w:rsidR="00040E05" w:rsidRPr="006D7B25">
        <w:rPr>
          <w:sz w:val="20"/>
        </w:rPr>
        <w:t xml:space="preserve"> </w:t>
      </w:r>
      <w:r w:rsidRPr="006D7B25">
        <w:rPr>
          <w:sz w:val="20"/>
        </w:rPr>
        <w:t xml:space="preserve">read the word, phrase, or sentence to make sure all the words were correctly pronounced and spelled. If the student was unable to discover an error on his own, the tutor drew the student’s attention to the word and engaged the student in a problem-solving exercise to find the error. When writing sentences, the tutor always asked the student if he remembered to start the sentence with a capital letter and ended the sentence with punctuation. </w:t>
      </w:r>
    </w:p>
    <w:p w:rsidR="00F542D9" w:rsidRDefault="00F542D9" w:rsidP="00F542D9">
      <w:pPr>
        <w:pStyle w:val="10TableText"/>
        <w:jc w:val="both"/>
        <w:rPr>
          <w:sz w:val="20"/>
          <w:szCs w:val="20"/>
        </w:rPr>
      </w:pPr>
    </w:p>
    <w:p w:rsidR="00CD08DE" w:rsidRPr="006D7B25" w:rsidRDefault="00CD08DE" w:rsidP="00F542D9">
      <w:pPr>
        <w:pStyle w:val="10TableText"/>
        <w:jc w:val="both"/>
        <w:rPr>
          <w:sz w:val="20"/>
          <w:szCs w:val="20"/>
        </w:rPr>
      </w:pPr>
      <w:r w:rsidRPr="006D7B25">
        <w:rPr>
          <w:sz w:val="20"/>
          <w:szCs w:val="20"/>
        </w:rPr>
        <w:t xml:space="preserve">For example, in teaching consonants and short vowels (Level 2), the instructor/tutor introduced one vowel and 5-6 consonants per lesson using lettered tiles; in Lesson 1 at this Level, the short vowel </w:t>
      </w:r>
      <w:r w:rsidR="00601444" w:rsidRPr="006D7B25">
        <w:rPr>
          <w:sz w:val="20"/>
          <w:szCs w:val="20"/>
        </w:rPr>
        <w:t>/</w:t>
      </w:r>
      <w:r w:rsidRPr="006D7B25">
        <w:rPr>
          <w:sz w:val="20"/>
          <w:szCs w:val="20"/>
        </w:rPr>
        <w:t>a</w:t>
      </w:r>
      <w:r w:rsidR="00601444" w:rsidRPr="006D7B25">
        <w:rPr>
          <w:sz w:val="20"/>
          <w:szCs w:val="20"/>
        </w:rPr>
        <w:t xml:space="preserve">/ </w:t>
      </w:r>
      <w:r w:rsidR="00213520">
        <w:rPr>
          <w:sz w:val="20"/>
          <w:szCs w:val="20"/>
        </w:rPr>
        <w:t xml:space="preserve">as in </w:t>
      </w:r>
      <w:r w:rsidR="00DE7107" w:rsidRPr="00213520">
        <w:rPr>
          <w:i/>
          <w:sz w:val="20"/>
          <w:szCs w:val="20"/>
        </w:rPr>
        <w:t>apple</w:t>
      </w:r>
      <w:r w:rsidR="00DE7107" w:rsidRPr="006D7B25">
        <w:rPr>
          <w:sz w:val="20"/>
          <w:szCs w:val="20"/>
        </w:rPr>
        <w:t xml:space="preserve"> </w:t>
      </w:r>
      <w:r w:rsidRPr="006D7B25">
        <w:rPr>
          <w:sz w:val="20"/>
          <w:szCs w:val="20"/>
        </w:rPr>
        <w:t xml:space="preserve">is first introduced followed by the consonants </w:t>
      </w:r>
      <w:r w:rsidR="0034063B" w:rsidRPr="006D7B25">
        <w:rPr>
          <w:sz w:val="20"/>
          <w:szCs w:val="20"/>
        </w:rPr>
        <w:t>/</w:t>
      </w:r>
      <w:r w:rsidRPr="006D7B25">
        <w:rPr>
          <w:sz w:val="20"/>
          <w:szCs w:val="20"/>
        </w:rPr>
        <w:t>m</w:t>
      </w:r>
      <w:r w:rsidR="0034063B" w:rsidRPr="006D7B25">
        <w:rPr>
          <w:sz w:val="20"/>
          <w:szCs w:val="20"/>
        </w:rPr>
        <w:t>/</w:t>
      </w:r>
      <w:r w:rsidRPr="006D7B25">
        <w:rPr>
          <w:sz w:val="20"/>
          <w:szCs w:val="20"/>
        </w:rPr>
        <w:t xml:space="preserve">, </w:t>
      </w:r>
      <w:r w:rsidR="0034063B" w:rsidRPr="006D7B25">
        <w:rPr>
          <w:sz w:val="20"/>
          <w:szCs w:val="20"/>
        </w:rPr>
        <w:t>/</w:t>
      </w:r>
      <w:r w:rsidRPr="006D7B25">
        <w:rPr>
          <w:sz w:val="20"/>
          <w:szCs w:val="20"/>
        </w:rPr>
        <w:t>p</w:t>
      </w:r>
      <w:r w:rsidR="0034063B" w:rsidRPr="006D7B25">
        <w:rPr>
          <w:sz w:val="20"/>
          <w:szCs w:val="20"/>
        </w:rPr>
        <w:t>/</w:t>
      </w:r>
      <w:r w:rsidRPr="006D7B25">
        <w:rPr>
          <w:sz w:val="20"/>
          <w:szCs w:val="20"/>
        </w:rPr>
        <w:t xml:space="preserve">, </w:t>
      </w:r>
      <w:r w:rsidR="0034063B" w:rsidRPr="006D7B25">
        <w:rPr>
          <w:sz w:val="20"/>
          <w:szCs w:val="20"/>
        </w:rPr>
        <w:t>/</w:t>
      </w:r>
      <w:r w:rsidRPr="006D7B25">
        <w:rPr>
          <w:sz w:val="20"/>
          <w:szCs w:val="20"/>
        </w:rPr>
        <w:t>t</w:t>
      </w:r>
      <w:r w:rsidR="0034063B" w:rsidRPr="006D7B25">
        <w:rPr>
          <w:sz w:val="20"/>
          <w:szCs w:val="20"/>
        </w:rPr>
        <w:t>/</w:t>
      </w:r>
      <w:r w:rsidRPr="006D7B25">
        <w:rPr>
          <w:sz w:val="20"/>
          <w:szCs w:val="20"/>
        </w:rPr>
        <w:t xml:space="preserve">, </w:t>
      </w:r>
      <w:r w:rsidR="0034063B" w:rsidRPr="006D7B25">
        <w:rPr>
          <w:sz w:val="20"/>
          <w:szCs w:val="20"/>
        </w:rPr>
        <w:t>/</w:t>
      </w:r>
      <w:r w:rsidRPr="006D7B25">
        <w:rPr>
          <w:sz w:val="20"/>
          <w:szCs w:val="20"/>
        </w:rPr>
        <w:t>s</w:t>
      </w:r>
      <w:r w:rsidR="0034063B" w:rsidRPr="006D7B25">
        <w:rPr>
          <w:sz w:val="20"/>
          <w:szCs w:val="20"/>
        </w:rPr>
        <w:t>/</w:t>
      </w:r>
      <w:r w:rsidRPr="006D7B25">
        <w:rPr>
          <w:sz w:val="20"/>
          <w:szCs w:val="20"/>
        </w:rPr>
        <w:t xml:space="preserve">, </w:t>
      </w:r>
      <w:r w:rsidR="0034063B" w:rsidRPr="006D7B25">
        <w:rPr>
          <w:sz w:val="20"/>
          <w:szCs w:val="20"/>
        </w:rPr>
        <w:t>/</w:t>
      </w:r>
      <w:r w:rsidRPr="006D7B25">
        <w:rPr>
          <w:sz w:val="20"/>
          <w:szCs w:val="20"/>
        </w:rPr>
        <w:t>f</w:t>
      </w:r>
      <w:r w:rsidR="0034063B" w:rsidRPr="006D7B25">
        <w:rPr>
          <w:sz w:val="20"/>
          <w:szCs w:val="20"/>
        </w:rPr>
        <w:t>/</w:t>
      </w:r>
      <w:r w:rsidRPr="006D7B25">
        <w:rPr>
          <w:sz w:val="20"/>
          <w:szCs w:val="20"/>
        </w:rPr>
        <w:t xml:space="preserve">, and </w:t>
      </w:r>
      <w:r w:rsidR="0034063B" w:rsidRPr="006D7B25">
        <w:rPr>
          <w:sz w:val="20"/>
          <w:szCs w:val="20"/>
        </w:rPr>
        <w:t>/</w:t>
      </w:r>
      <w:r w:rsidRPr="006D7B25">
        <w:rPr>
          <w:sz w:val="20"/>
          <w:szCs w:val="20"/>
        </w:rPr>
        <w:t>b</w:t>
      </w:r>
      <w:r w:rsidR="0034063B" w:rsidRPr="006D7B25">
        <w:rPr>
          <w:sz w:val="20"/>
          <w:szCs w:val="20"/>
        </w:rPr>
        <w:t>/</w:t>
      </w:r>
      <w:r w:rsidRPr="006D7B25">
        <w:rPr>
          <w:sz w:val="20"/>
          <w:szCs w:val="20"/>
        </w:rPr>
        <w:t xml:space="preserve">.  The tutor explained the concept of the vowel and guides the student to think of a key word to help the student remember the vowel sound.  The student learned how to tap out a vowel sound with his finger while repeating the name of the vowel; this was meant to strengthen the use of kinesthetic and auditory cues. After the student consistently identified the names of the vowel and consonants and their corresponding pronunciations, the student practiced reading and spelling real and nonsense words with the tiles.  Finger-spelling was used in the early lessons; the student assigned one sound per finger as he spells a word aloud. The student then pulled down a tile that corresponds to the sound. These procedures incorporated the tactile-kinesthetic, auditory, and visual senses. Once the student was confident spelling with the tiles, he progressed to spelling words on paper using the finger-spelling procedure, if necessary. A final procedure at this Level entailed the student generating longer words from the consonants and vowel taught in Lesson 1. For example, from the CVC root </w:t>
      </w:r>
      <w:proofErr w:type="spellStart"/>
      <w:r w:rsidR="00213520" w:rsidRPr="00213520">
        <w:rPr>
          <w:i/>
          <w:sz w:val="20"/>
          <w:szCs w:val="20"/>
        </w:rPr>
        <w:t>fam</w:t>
      </w:r>
      <w:proofErr w:type="spellEnd"/>
      <w:r w:rsidRPr="006D7B25">
        <w:rPr>
          <w:sz w:val="20"/>
          <w:szCs w:val="20"/>
        </w:rPr>
        <w:t xml:space="preserve">, the student might have generated </w:t>
      </w:r>
      <w:r w:rsidR="00213520" w:rsidRPr="00213520">
        <w:rPr>
          <w:i/>
          <w:sz w:val="20"/>
          <w:szCs w:val="20"/>
        </w:rPr>
        <w:t>family</w:t>
      </w:r>
      <w:r w:rsidR="00213520">
        <w:rPr>
          <w:sz w:val="20"/>
          <w:szCs w:val="20"/>
        </w:rPr>
        <w:t xml:space="preserve">, </w:t>
      </w:r>
      <w:r w:rsidRPr="00213520">
        <w:rPr>
          <w:i/>
          <w:sz w:val="20"/>
          <w:szCs w:val="20"/>
        </w:rPr>
        <w:t>fabulous</w:t>
      </w:r>
      <w:r w:rsidR="00213520">
        <w:rPr>
          <w:sz w:val="20"/>
          <w:szCs w:val="20"/>
        </w:rPr>
        <w:t xml:space="preserve">, and </w:t>
      </w:r>
      <w:r w:rsidR="00213520" w:rsidRPr="00213520">
        <w:rPr>
          <w:i/>
          <w:sz w:val="20"/>
          <w:szCs w:val="20"/>
        </w:rPr>
        <w:t>famous</w:t>
      </w:r>
      <w:r w:rsidRPr="006D7B25">
        <w:rPr>
          <w:sz w:val="20"/>
          <w:szCs w:val="20"/>
        </w:rPr>
        <w:t>. This exercise was used to build the student’s confidence in reading and writing longer words and to demonstrate that larger words often contain easily identifiable and familiar smaller parts (i.e., root words).</w:t>
      </w:r>
      <w:r w:rsidR="007B458E" w:rsidRPr="006D7B25">
        <w:rPr>
          <w:sz w:val="20"/>
          <w:szCs w:val="20"/>
        </w:rPr>
        <w:t xml:space="preserve">  </w:t>
      </w:r>
      <w:r w:rsidRPr="006D7B25">
        <w:rPr>
          <w:sz w:val="20"/>
          <w:szCs w:val="20"/>
        </w:rPr>
        <w:t xml:space="preserve">These procedures were continued throughout Level 2 as the student learned the remaining short vowel sounds and consonants.  The words and nonsense words used in each lesson were restricted to those vowels and consonants that had already been taught. </w:t>
      </w:r>
    </w:p>
    <w:p w:rsidR="00D50AD8" w:rsidRDefault="00D50AD8" w:rsidP="006D7B25">
      <w:pPr>
        <w:pStyle w:val="08BodyText"/>
        <w:spacing w:line="240" w:lineRule="auto"/>
        <w:ind w:firstLine="0"/>
        <w:jc w:val="both"/>
        <w:rPr>
          <w:b/>
          <w:i/>
          <w:sz w:val="20"/>
        </w:rPr>
      </w:pPr>
    </w:p>
    <w:p w:rsidR="00892E75" w:rsidRDefault="00892E75" w:rsidP="006D7B25">
      <w:pPr>
        <w:pStyle w:val="08BodyText"/>
        <w:spacing w:line="240" w:lineRule="auto"/>
        <w:ind w:firstLine="0"/>
        <w:jc w:val="both"/>
        <w:rPr>
          <w:i/>
          <w:sz w:val="20"/>
        </w:rPr>
      </w:pPr>
    </w:p>
    <w:p w:rsidR="00892E75" w:rsidRDefault="00892E75" w:rsidP="006D7B25">
      <w:pPr>
        <w:pStyle w:val="08BodyText"/>
        <w:spacing w:line="240" w:lineRule="auto"/>
        <w:ind w:firstLine="0"/>
        <w:jc w:val="both"/>
        <w:rPr>
          <w:i/>
          <w:sz w:val="20"/>
        </w:rPr>
      </w:pPr>
    </w:p>
    <w:p w:rsidR="00892E75" w:rsidRDefault="00892E75" w:rsidP="006D7B25">
      <w:pPr>
        <w:pStyle w:val="08BodyText"/>
        <w:spacing w:line="240" w:lineRule="auto"/>
        <w:ind w:firstLine="0"/>
        <w:jc w:val="both"/>
        <w:rPr>
          <w:i/>
          <w:sz w:val="20"/>
        </w:rPr>
      </w:pPr>
    </w:p>
    <w:p w:rsidR="003F6BA8" w:rsidRPr="00892E75" w:rsidRDefault="003F6BA8" w:rsidP="006D7B25">
      <w:pPr>
        <w:pStyle w:val="08BodyText"/>
        <w:spacing w:line="240" w:lineRule="auto"/>
        <w:ind w:firstLine="0"/>
        <w:jc w:val="both"/>
        <w:rPr>
          <w:i/>
          <w:sz w:val="20"/>
        </w:rPr>
      </w:pPr>
      <w:r w:rsidRPr="00892E75">
        <w:rPr>
          <w:i/>
          <w:sz w:val="20"/>
        </w:rPr>
        <w:t>Data collection</w:t>
      </w:r>
    </w:p>
    <w:p w:rsidR="00451B63" w:rsidRPr="006D7B25" w:rsidRDefault="00B46A5A" w:rsidP="006D7B25">
      <w:pPr>
        <w:pStyle w:val="08BodyText"/>
        <w:spacing w:line="240" w:lineRule="auto"/>
        <w:ind w:firstLine="0"/>
        <w:jc w:val="both"/>
        <w:rPr>
          <w:sz w:val="20"/>
        </w:rPr>
      </w:pPr>
      <w:r w:rsidRPr="006D7B25">
        <w:rPr>
          <w:sz w:val="20"/>
        </w:rPr>
        <w:t>T</w:t>
      </w:r>
      <w:r w:rsidR="00451B63" w:rsidRPr="006D7B25">
        <w:rPr>
          <w:sz w:val="20"/>
        </w:rPr>
        <w:t xml:space="preserve">he researcher developed a tracking sheet that each tutor used at every session. The sheet allowed the tutor to record the </w:t>
      </w:r>
      <w:r w:rsidR="004C13EA" w:rsidRPr="006D7B25">
        <w:rPr>
          <w:sz w:val="20"/>
        </w:rPr>
        <w:t xml:space="preserve">student </w:t>
      </w:r>
      <w:r w:rsidR="00451B63" w:rsidRPr="006D7B25">
        <w:rPr>
          <w:sz w:val="20"/>
        </w:rPr>
        <w:t>number, the date, time of the session, the number of the session, and the beginning and ending procedure for each lesson.</w:t>
      </w:r>
    </w:p>
    <w:p w:rsidR="00D50AD8" w:rsidRDefault="00D50AD8" w:rsidP="006D7B25">
      <w:pPr>
        <w:pStyle w:val="08BodyText"/>
        <w:spacing w:line="240" w:lineRule="auto"/>
        <w:ind w:firstLine="0"/>
        <w:jc w:val="both"/>
        <w:rPr>
          <w:sz w:val="20"/>
        </w:rPr>
      </w:pPr>
    </w:p>
    <w:p w:rsidR="003F6BA8" w:rsidRPr="00D50AD8" w:rsidRDefault="003F6BA8" w:rsidP="006D7B25">
      <w:pPr>
        <w:pStyle w:val="08BodyText"/>
        <w:spacing w:line="240" w:lineRule="auto"/>
        <w:ind w:firstLine="0"/>
        <w:jc w:val="both"/>
        <w:rPr>
          <w:sz w:val="20"/>
        </w:rPr>
      </w:pPr>
      <w:r w:rsidRPr="00D50AD8">
        <w:rPr>
          <w:sz w:val="20"/>
        </w:rPr>
        <w:t>Inter-observer agreement and reliability</w:t>
      </w:r>
    </w:p>
    <w:p w:rsidR="003875C9" w:rsidRPr="006D7B25" w:rsidRDefault="003875C9" w:rsidP="00D50AD8">
      <w:pPr>
        <w:pStyle w:val="08BodyText"/>
        <w:spacing w:line="240" w:lineRule="auto"/>
        <w:ind w:firstLine="0"/>
        <w:jc w:val="both"/>
        <w:rPr>
          <w:sz w:val="20"/>
        </w:rPr>
      </w:pPr>
      <w:r w:rsidRPr="006D7B25">
        <w:rPr>
          <w:sz w:val="20"/>
        </w:rPr>
        <w:t>Two research assistants were trained in the BRSS as observers to make sure the tutors were carrying out the procedures according to the Barton protocol.  The assistants participated in all tutor training sessions and were familiar with all Barton procedures. If the observers’ assessments did not agree or if the observers did not observe the required B</w:t>
      </w:r>
      <w:r w:rsidR="009D1F4A" w:rsidRPr="006D7B25">
        <w:rPr>
          <w:sz w:val="20"/>
        </w:rPr>
        <w:t>RSS</w:t>
      </w:r>
      <w:r w:rsidRPr="006D7B25">
        <w:rPr>
          <w:sz w:val="20"/>
        </w:rPr>
        <w:t xml:space="preserve"> procedures in the tutoring sessions, the tutors would undergo additional training. </w:t>
      </w:r>
    </w:p>
    <w:p w:rsidR="00D50AD8" w:rsidRDefault="00D50AD8" w:rsidP="00D50AD8">
      <w:pPr>
        <w:pStyle w:val="08BodyText"/>
        <w:spacing w:line="240" w:lineRule="auto"/>
        <w:ind w:firstLine="0"/>
        <w:jc w:val="both"/>
        <w:rPr>
          <w:sz w:val="20"/>
        </w:rPr>
      </w:pPr>
    </w:p>
    <w:p w:rsidR="003875C9" w:rsidRPr="006D7B25" w:rsidRDefault="003875C9" w:rsidP="00D50AD8">
      <w:pPr>
        <w:pStyle w:val="08BodyText"/>
        <w:spacing w:line="240" w:lineRule="auto"/>
        <w:ind w:firstLine="0"/>
        <w:jc w:val="both"/>
        <w:rPr>
          <w:sz w:val="20"/>
        </w:rPr>
      </w:pPr>
      <w:r w:rsidRPr="006D7B25">
        <w:rPr>
          <w:sz w:val="20"/>
        </w:rPr>
        <w:t xml:space="preserve">The assistants observed one day a week. They observed one tutor and her assigned student </w:t>
      </w:r>
      <w:r w:rsidR="009D1F4A" w:rsidRPr="006D7B25">
        <w:rPr>
          <w:sz w:val="20"/>
        </w:rPr>
        <w:t xml:space="preserve">for an hour, followed by </w:t>
      </w:r>
      <w:r w:rsidRPr="006D7B25">
        <w:rPr>
          <w:sz w:val="20"/>
        </w:rPr>
        <w:t>a different tutor and her assigned student f</w:t>
      </w:r>
      <w:r w:rsidR="0009027F" w:rsidRPr="006D7B25">
        <w:rPr>
          <w:sz w:val="20"/>
        </w:rPr>
        <w:t>or an hour</w:t>
      </w:r>
      <w:r w:rsidRPr="006D7B25">
        <w:rPr>
          <w:sz w:val="20"/>
        </w:rPr>
        <w:t>. The</w:t>
      </w:r>
      <w:r w:rsidR="0009027F" w:rsidRPr="006D7B25">
        <w:rPr>
          <w:sz w:val="20"/>
        </w:rPr>
        <w:t>y</w:t>
      </w:r>
      <w:r w:rsidRPr="006D7B25">
        <w:rPr>
          <w:sz w:val="20"/>
        </w:rPr>
        <w:t xml:space="preserve"> made a check-mark on  </w:t>
      </w:r>
      <w:r w:rsidR="0009027F" w:rsidRPr="006D7B25">
        <w:rPr>
          <w:sz w:val="20"/>
        </w:rPr>
        <w:t xml:space="preserve">a </w:t>
      </w:r>
      <w:r w:rsidRPr="006D7B25">
        <w:rPr>
          <w:sz w:val="20"/>
        </w:rPr>
        <w:t xml:space="preserve">list to indicate if </w:t>
      </w:r>
      <w:r w:rsidR="0009027F" w:rsidRPr="006D7B25">
        <w:rPr>
          <w:sz w:val="20"/>
        </w:rPr>
        <w:t xml:space="preserve">a (1) </w:t>
      </w:r>
      <w:r w:rsidRPr="006D7B25">
        <w:rPr>
          <w:sz w:val="20"/>
        </w:rPr>
        <w:t xml:space="preserve">required or expected procedure occurred, </w:t>
      </w:r>
      <w:r w:rsidR="0009027F" w:rsidRPr="006D7B25">
        <w:rPr>
          <w:sz w:val="20"/>
        </w:rPr>
        <w:t xml:space="preserve">(2) </w:t>
      </w:r>
      <w:r w:rsidRPr="006D7B25">
        <w:rPr>
          <w:sz w:val="20"/>
        </w:rPr>
        <w:t xml:space="preserve">procedure was required or expected but did not occur, or </w:t>
      </w:r>
      <w:r w:rsidR="0009027F" w:rsidRPr="006D7B25">
        <w:rPr>
          <w:sz w:val="20"/>
        </w:rPr>
        <w:t xml:space="preserve">(3) </w:t>
      </w:r>
      <w:r w:rsidRPr="006D7B25">
        <w:rPr>
          <w:sz w:val="20"/>
        </w:rPr>
        <w:t>procedure was not required or expected in a given segment of the tutoring session.</w:t>
      </w:r>
    </w:p>
    <w:p w:rsidR="00D50AD8" w:rsidRDefault="00D50AD8" w:rsidP="00D50AD8">
      <w:pPr>
        <w:pStyle w:val="08BodyText"/>
        <w:spacing w:line="240" w:lineRule="auto"/>
        <w:ind w:firstLine="0"/>
        <w:jc w:val="both"/>
        <w:rPr>
          <w:sz w:val="20"/>
        </w:rPr>
      </w:pPr>
    </w:p>
    <w:p w:rsidR="003875C9" w:rsidRPr="006D7B25" w:rsidRDefault="003875C9" w:rsidP="00D50AD8">
      <w:pPr>
        <w:pStyle w:val="08BodyText"/>
        <w:spacing w:line="240" w:lineRule="auto"/>
        <w:ind w:firstLine="0"/>
        <w:jc w:val="both"/>
        <w:rPr>
          <w:sz w:val="20"/>
        </w:rPr>
      </w:pPr>
      <w:r w:rsidRPr="006D7B25">
        <w:rPr>
          <w:sz w:val="20"/>
        </w:rPr>
        <w:t xml:space="preserve">A point-by-point agreement ratio was calculated to measure reliability. </w:t>
      </w:r>
      <w:r w:rsidR="0009027F" w:rsidRPr="006D7B25">
        <w:rPr>
          <w:sz w:val="20"/>
        </w:rPr>
        <w:t xml:space="preserve"> According to Kazdin (1983), t</w:t>
      </w:r>
      <w:r w:rsidRPr="006D7B25">
        <w:rPr>
          <w:sz w:val="20"/>
        </w:rPr>
        <w:t xml:space="preserve">his ratio is appropriate when there are discrete opportunities for the behavior to occur. The following formula was used to compute point-by-point agreement for each session observed where </w:t>
      </w:r>
      <w:r w:rsidR="00213520" w:rsidRPr="00213520">
        <w:rPr>
          <w:i/>
          <w:sz w:val="20"/>
        </w:rPr>
        <w:t>A</w:t>
      </w:r>
      <w:r w:rsidRPr="006D7B25">
        <w:rPr>
          <w:sz w:val="20"/>
        </w:rPr>
        <w:t xml:space="preserve"> represents agreements and </w:t>
      </w:r>
      <w:r w:rsidR="00213520" w:rsidRPr="00213520">
        <w:rPr>
          <w:i/>
          <w:sz w:val="20"/>
        </w:rPr>
        <w:t>D</w:t>
      </w:r>
      <w:r w:rsidRPr="006D7B25">
        <w:rPr>
          <w:sz w:val="20"/>
        </w:rPr>
        <w:t xml:space="preserve"> represents disagreements: Point-by-Point Agreement = A/A+D x 100. Of the 14 sessions observed, there was 100% agreement six times, 90% agreement two times, 80% agreement four times, and 70% agreement 2 times (M = 88%). </w:t>
      </w:r>
    </w:p>
    <w:p w:rsidR="00D50AD8" w:rsidRDefault="00D50AD8" w:rsidP="006D7B25">
      <w:pPr>
        <w:pStyle w:val="08BodyText"/>
        <w:spacing w:line="240" w:lineRule="auto"/>
        <w:ind w:firstLine="0"/>
        <w:jc w:val="both"/>
        <w:rPr>
          <w:b/>
          <w:sz w:val="20"/>
        </w:rPr>
      </w:pPr>
    </w:p>
    <w:p w:rsidR="00AF67B9" w:rsidRPr="006D7B25" w:rsidRDefault="00AF67B9" w:rsidP="006D7B25">
      <w:pPr>
        <w:pStyle w:val="08BodyText"/>
        <w:spacing w:line="240" w:lineRule="auto"/>
        <w:ind w:firstLine="0"/>
        <w:jc w:val="both"/>
        <w:rPr>
          <w:b/>
          <w:sz w:val="20"/>
        </w:rPr>
      </w:pPr>
      <w:r w:rsidRPr="006D7B25">
        <w:rPr>
          <w:b/>
          <w:sz w:val="20"/>
        </w:rPr>
        <w:t>Results</w:t>
      </w:r>
    </w:p>
    <w:p w:rsidR="00AF67B9" w:rsidRPr="006D7B25" w:rsidRDefault="00AF67B9" w:rsidP="00D50AD8">
      <w:pPr>
        <w:pStyle w:val="08BodyText"/>
        <w:spacing w:line="240" w:lineRule="auto"/>
        <w:ind w:firstLine="0"/>
        <w:jc w:val="both"/>
        <w:rPr>
          <w:sz w:val="20"/>
        </w:rPr>
      </w:pPr>
      <w:r w:rsidRPr="006D7B25">
        <w:rPr>
          <w:sz w:val="20"/>
        </w:rPr>
        <w:t>A pretest</w:t>
      </w:r>
      <w:r w:rsidR="007B458E" w:rsidRPr="006D7B25">
        <w:rPr>
          <w:sz w:val="20"/>
        </w:rPr>
        <w:t>-</w:t>
      </w:r>
      <w:r w:rsidRPr="006D7B25">
        <w:rPr>
          <w:sz w:val="20"/>
        </w:rPr>
        <w:t xml:space="preserve">posttest design was used </w:t>
      </w:r>
      <w:r w:rsidR="007B458E" w:rsidRPr="006D7B25">
        <w:rPr>
          <w:sz w:val="20"/>
        </w:rPr>
        <w:t xml:space="preserve">in </w:t>
      </w:r>
      <w:r w:rsidRPr="006D7B25">
        <w:rPr>
          <w:sz w:val="20"/>
        </w:rPr>
        <w:t xml:space="preserve">this study. Gain scores and effect sizes were calculated. A visual analysis of the pretest and posttest results for reveals that the mean scores for the posttest are consistently higher than pretest scores. Gain scores were calculated for all </w:t>
      </w:r>
      <w:r w:rsidR="00246286" w:rsidRPr="006D7B25">
        <w:rPr>
          <w:sz w:val="20"/>
        </w:rPr>
        <w:t xml:space="preserve">students </w:t>
      </w:r>
      <w:r w:rsidRPr="006D7B25">
        <w:rPr>
          <w:sz w:val="20"/>
        </w:rPr>
        <w:t xml:space="preserve">by subtracting pretest standard scores from posttest standard scores.  Effect sizes (Cohen’s </w:t>
      </w:r>
      <w:r w:rsidRPr="006D7B25">
        <w:rPr>
          <w:i/>
          <w:sz w:val="20"/>
        </w:rPr>
        <w:t>d</w:t>
      </w:r>
      <w:r w:rsidRPr="006D7B25">
        <w:rPr>
          <w:sz w:val="20"/>
        </w:rPr>
        <w:t xml:space="preserve">) were calculated to measure the size of the impact that the intervention had on </w:t>
      </w:r>
      <w:r w:rsidR="00246286" w:rsidRPr="006D7B25">
        <w:rPr>
          <w:sz w:val="20"/>
        </w:rPr>
        <w:t xml:space="preserve">the students’ </w:t>
      </w:r>
      <w:r w:rsidRPr="006D7B25">
        <w:rPr>
          <w:sz w:val="20"/>
        </w:rPr>
        <w:t xml:space="preserve">posttest scores.  Cohen’s (1988) descriptive guidelines (i.e., .2 = small, .5 = medium, .8 = large) for interpretation of effect sizes are included in Table 5, and effect sizes listed in Tables 3 and </w:t>
      </w:r>
      <w:r w:rsidR="00982AAB" w:rsidRPr="006D7B25">
        <w:rPr>
          <w:sz w:val="20"/>
        </w:rPr>
        <w:t xml:space="preserve">4 </w:t>
      </w:r>
      <w:r w:rsidRPr="006D7B25">
        <w:rPr>
          <w:sz w:val="20"/>
        </w:rPr>
        <w:t xml:space="preserve">that are medium or large in magnitude are indicated by an asterisk.  Not every </w:t>
      </w:r>
      <w:r w:rsidR="00246286" w:rsidRPr="006D7B25">
        <w:rPr>
          <w:sz w:val="20"/>
        </w:rPr>
        <w:t xml:space="preserve">student </w:t>
      </w:r>
      <w:r w:rsidRPr="006D7B25">
        <w:rPr>
          <w:sz w:val="20"/>
        </w:rPr>
        <w:t xml:space="preserve">experienced gains in each subtest (in some cases scores stayed the same or went slightly down), but the trend suggests that </w:t>
      </w:r>
      <w:r w:rsidR="00246286" w:rsidRPr="006D7B25">
        <w:rPr>
          <w:sz w:val="20"/>
        </w:rPr>
        <w:t xml:space="preserve">the students </w:t>
      </w:r>
      <w:r w:rsidRPr="006D7B25">
        <w:rPr>
          <w:sz w:val="20"/>
        </w:rPr>
        <w:t xml:space="preserve">made at least some gains across the measures. Overall, the effect sizes indicate that </w:t>
      </w:r>
      <w:r w:rsidR="00040E05" w:rsidRPr="006D7B25">
        <w:rPr>
          <w:sz w:val="20"/>
        </w:rPr>
        <w:t xml:space="preserve">the </w:t>
      </w:r>
      <w:r w:rsidRPr="006D7B25">
        <w:rPr>
          <w:sz w:val="20"/>
        </w:rPr>
        <w:t xml:space="preserve">students made small to large gains in targeted skill areas. </w:t>
      </w:r>
    </w:p>
    <w:p w:rsidR="00D50AD8" w:rsidRDefault="00D50AD8" w:rsidP="00D50AD8">
      <w:pPr>
        <w:pStyle w:val="08BodyText"/>
        <w:spacing w:line="240" w:lineRule="auto"/>
        <w:ind w:firstLine="0"/>
        <w:jc w:val="both"/>
        <w:rPr>
          <w:sz w:val="20"/>
        </w:rPr>
      </w:pPr>
    </w:p>
    <w:p w:rsidR="00D50AD8" w:rsidRPr="00892E75" w:rsidRDefault="00AF67B9" w:rsidP="00640925">
      <w:pPr>
        <w:pStyle w:val="08BodyText"/>
        <w:spacing w:line="240" w:lineRule="auto"/>
        <w:ind w:firstLine="0"/>
        <w:jc w:val="both"/>
        <w:rPr>
          <w:sz w:val="20"/>
        </w:rPr>
      </w:pPr>
      <w:r w:rsidRPr="006D7B25">
        <w:rPr>
          <w:sz w:val="20"/>
        </w:rPr>
        <w:t xml:space="preserve">Average group scores for all </w:t>
      </w:r>
      <w:r w:rsidR="00246286" w:rsidRPr="006D7B25">
        <w:rPr>
          <w:sz w:val="20"/>
        </w:rPr>
        <w:t xml:space="preserve">students </w:t>
      </w:r>
      <w:r w:rsidRPr="006D7B25">
        <w:rPr>
          <w:sz w:val="20"/>
        </w:rPr>
        <w:t xml:space="preserve">and measures, along with the effect sizes of these differences, are presented in Table </w:t>
      </w:r>
      <w:r w:rsidR="002E6DE4" w:rsidRPr="006D7B25">
        <w:rPr>
          <w:sz w:val="20"/>
        </w:rPr>
        <w:t>3</w:t>
      </w:r>
      <w:r w:rsidRPr="006D7B25">
        <w:rPr>
          <w:sz w:val="20"/>
        </w:rPr>
        <w:t xml:space="preserve">. As seen in Table </w:t>
      </w:r>
      <w:r w:rsidR="002E6DE4" w:rsidRPr="006D7B25">
        <w:rPr>
          <w:sz w:val="20"/>
        </w:rPr>
        <w:t>3</w:t>
      </w:r>
      <w:r w:rsidRPr="006D7B25">
        <w:rPr>
          <w:sz w:val="20"/>
        </w:rPr>
        <w:t>, the average scores were consistently higher for posttests across all measures, with effect sizes ranging from .19 (small) to 1.06 (large). Average gains in standard scores on the WJ</w:t>
      </w:r>
      <w:r w:rsidR="00BE7005" w:rsidRPr="006D7B25">
        <w:rPr>
          <w:sz w:val="20"/>
        </w:rPr>
        <w:t xml:space="preserve"> </w:t>
      </w:r>
      <w:r w:rsidRPr="006D7B25">
        <w:rPr>
          <w:sz w:val="20"/>
        </w:rPr>
        <w:t xml:space="preserve">III </w:t>
      </w:r>
      <w:r w:rsidR="00BE7005" w:rsidRPr="006D7B25">
        <w:rPr>
          <w:sz w:val="20"/>
        </w:rPr>
        <w:t xml:space="preserve">ACH </w:t>
      </w:r>
      <w:r w:rsidRPr="006D7B25">
        <w:rPr>
          <w:sz w:val="20"/>
        </w:rPr>
        <w:t xml:space="preserve">ranged from 2.89 to 8.11, with the greatest average gains being on the </w:t>
      </w:r>
      <w:r w:rsidRPr="006D7B25">
        <w:rPr>
          <w:i/>
          <w:sz w:val="20"/>
        </w:rPr>
        <w:t>Spelling</w:t>
      </w:r>
      <w:r w:rsidRPr="006D7B25">
        <w:rPr>
          <w:sz w:val="20"/>
        </w:rPr>
        <w:t xml:space="preserve">, </w:t>
      </w:r>
      <w:r w:rsidRPr="006D7B25">
        <w:rPr>
          <w:i/>
          <w:sz w:val="20"/>
        </w:rPr>
        <w:t>Word Attack</w:t>
      </w:r>
      <w:r w:rsidRPr="006D7B25">
        <w:rPr>
          <w:sz w:val="20"/>
        </w:rPr>
        <w:t xml:space="preserve">, and </w:t>
      </w:r>
      <w:r w:rsidRPr="006D7B25">
        <w:rPr>
          <w:i/>
          <w:sz w:val="20"/>
        </w:rPr>
        <w:t>Sound Awareness</w:t>
      </w:r>
      <w:r w:rsidRPr="006D7B25">
        <w:rPr>
          <w:sz w:val="20"/>
        </w:rPr>
        <w:t xml:space="preserve"> subtests of the WJ</w:t>
      </w:r>
      <w:r w:rsidR="00BE7005" w:rsidRPr="006D7B25">
        <w:rPr>
          <w:sz w:val="20"/>
        </w:rPr>
        <w:t xml:space="preserve"> </w:t>
      </w:r>
      <w:r w:rsidRPr="006D7B25">
        <w:rPr>
          <w:sz w:val="20"/>
        </w:rPr>
        <w:t xml:space="preserve">III </w:t>
      </w:r>
      <w:r w:rsidR="00BE7005" w:rsidRPr="006D7B25">
        <w:rPr>
          <w:sz w:val="20"/>
        </w:rPr>
        <w:t xml:space="preserve">ACH </w:t>
      </w:r>
      <w:r w:rsidRPr="006D7B25">
        <w:rPr>
          <w:sz w:val="20"/>
        </w:rPr>
        <w:t xml:space="preserve">(effect sizes of .53, 1.06, and .54, respectively).  An analysis of individual </w:t>
      </w:r>
      <w:r w:rsidR="00246286" w:rsidRPr="006D7B25">
        <w:rPr>
          <w:sz w:val="20"/>
        </w:rPr>
        <w:t xml:space="preserve">student’s </w:t>
      </w:r>
      <w:r w:rsidR="002E6DE4" w:rsidRPr="006D7B25">
        <w:rPr>
          <w:sz w:val="20"/>
        </w:rPr>
        <w:t>pre</w:t>
      </w:r>
      <w:r w:rsidR="00943206" w:rsidRPr="006D7B25">
        <w:rPr>
          <w:sz w:val="20"/>
        </w:rPr>
        <w:t>test</w:t>
      </w:r>
      <w:r w:rsidR="002E6DE4" w:rsidRPr="006D7B25">
        <w:rPr>
          <w:sz w:val="20"/>
        </w:rPr>
        <w:t xml:space="preserve"> and posttest scores on the WJ III </w:t>
      </w:r>
      <w:r w:rsidR="00BE7005" w:rsidRPr="006D7B25">
        <w:rPr>
          <w:sz w:val="20"/>
        </w:rPr>
        <w:t xml:space="preserve">ACH </w:t>
      </w:r>
      <w:r w:rsidRPr="006D7B25">
        <w:rPr>
          <w:sz w:val="20"/>
        </w:rPr>
        <w:t>sub</w:t>
      </w:r>
      <w:r w:rsidR="00BE7005" w:rsidRPr="006D7B25">
        <w:rPr>
          <w:sz w:val="20"/>
        </w:rPr>
        <w:t>tests</w:t>
      </w:r>
      <w:r w:rsidRPr="006D7B25">
        <w:rPr>
          <w:sz w:val="20"/>
        </w:rPr>
        <w:t xml:space="preserve"> (Table </w:t>
      </w:r>
      <w:r w:rsidR="002E6DE4" w:rsidRPr="006D7B25">
        <w:rPr>
          <w:sz w:val="20"/>
        </w:rPr>
        <w:t>4</w:t>
      </w:r>
      <w:r w:rsidRPr="006D7B25">
        <w:rPr>
          <w:sz w:val="20"/>
        </w:rPr>
        <w:t xml:space="preserve">) illuminates these average score gains.  On the </w:t>
      </w:r>
      <w:r w:rsidRPr="006D7B25">
        <w:rPr>
          <w:i/>
          <w:sz w:val="20"/>
        </w:rPr>
        <w:t>Spelling</w:t>
      </w:r>
      <w:r w:rsidRPr="006D7B25">
        <w:rPr>
          <w:sz w:val="20"/>
        </w:rPr>
        <w:t xml:space="preserve"> subtest, </w:t>
      </w:r>
      <w:r w:rsidR="00943206" w:rsidRPr="006D7B25">
        <w:rPr>
          <w:sz w:val="20"/>
        </w:rPr>
        <w:t xml:space="preserve">seven </w:t>
      </w:r>
      <w:r w:rsidRPr="006D7B25">
        <w:rPr>
          <w:sz w:val="20"/>
        </w:rPr>
        <w:t xml:space="preserve">of the </w:t>
      </w:r>
      <w:r w:rsidR="00943206" w:rsidRPr="006D7B25">
        <w:rPr>
          <w:sz w:val="20"/>
        </w:rPr>
        <w:t xml:space="preserve">nine </w:t>
      </w:r>
      <w:r w:rsidR="00246286" w:rsidRPr="006D7B25">
        <w:rPr>
          <w:sz w:val="20"/>
        </w:rPr>
        <w:t xml:space="preserve">students </w:t>
      </w:r>
      <w:r w:rsidRPr="006D7B25">
        <w:rPr>
          <w:sz w:val="20"/>
        </w:rPr>
        <w:t xml:space="preserve">had higher posttest scores, with the remaining two making modest declines (-1 and -2 points).  All nine </w:t>
      </w:r>
      <w:r w:rsidR="00246286" w:rsidRPr="006D7B25">
        <w:rPr>
          <w:sz w:val="20"/>
        </w:rPr>
        <w:t xml:space="preserve">students </w:t>
      </w:r>
      <w:r w:rsidRPr="006D7B25">
        <w:rPr>
          <w:sz w:val="20"/>
        </w:rPr>
        <w:t xml:space="preserve">had higher posttest scores on the </w:t>
      </w:r>
      <w:r w:rsidRPr="006D7B25">
        <w:rPr>
          <w:i/>
          <w:sz w:val="20"/>
        </w:rPr>
        <w:t>Work Attack</w:t>
      </w:r>
      <w:r w:rsidRPr="006D7B25">
        <w:rPr>
          <w:sz w:val="20"/>
        </w:rPr>
        <w:t xml:space="preserve"> sub</w:t>
      </w:r>
      <w:r w:rsidR="00B60D39" w:rsidRPr="006D7B25">
        <w:rPr>
          <w:sz w:val="20"/>
        </w:rPr>
        <w:t>test</w:t>
      </w:r>
      <w:r w:rsidRPr="006D7B25">
        <w:rPr>
          <w:sz w:val="20"/>
        </w:rPr>
        <w:t xml:space="preserve">, with individual gains ranging from </w:t>
      </w:r>
      <w:r w:rsidR="00943206" w:rsidRPr="006D7B25">
        <w:rPr>
          <w:sz w:val="20"/>
        </w:rPr>
        <w:t xml:space="preserve">five </w:t>
      </w:r>
      <w:r w:rsidRPr="006D7B25">
        <w:rPr>
          <w:sz w:val="20"/>
        </w:rPr>
        <w:t xml:space="preserve">points to 17 points. On the </w:t>
      </w:r>
      <w:r w:rsidRPr="006D7B25">
        <w:rPr>
          <w:i/>
          <w:sz w:val="20"/>
        </w:rPr>
        <w:t>Sound Awareness</w:t>
      </w:r>
      <w:r w:rsidRPr="006D7B25">
        <w:rPr>
          <w:sz w:val="20"/>
        </w:rPr>
        <w:t xml:space="preserve"> sub</w:t>
      </w:r>
      <w:r w:rsidR="00765B88" w:rsidRPr="006D7B25">
        <w:rPr>
          <w:sz w:val="20"/>
        </w:rPr>
        <w:t>test</w:t>
      </w:r>
      <w:r w:rsidRPr="006D7B25">
        <w:rPr>
          <w:sz w:val="20"/>
        </w:rPr>
        <w:t xml:space="preserve">, </w:t>
      </w:r>
      <w:r w:rsidR="00943206" w:rsidRPr="006D7B25">
        <w:rPr>
          <w:sz w:val="20"/>
        </w:rPr>
        <w:t xml:space="preserve">six </w:t>
      </w:r>
      <w:r w:rsidR="00444984" w:rsidRPr="006D7B25">
        <w:rPr>
          <w:sz w:val="20"/>
        </w:rPr>
        <w:t xml:space="preserve">students </w:t>
      </w:r>
      <w:r w:rsidRPr="006D7B25">
        <w:rPr>
          <w:sz w:val="20"/>
        </w:rPr>
        <w:t>made gains, one had scores remain consistent, and two students had slight declines (-2 and -4 points).  Of the WJ</w:t>
      </w:r>
      <w:r w:rsidR="00BE7005" w:rsidRPr="006D7B25">
        <w:rPr>
          <w:sz w:val="20"/>
        </w:rPr>
        <w:t xml:space="preserve"> </w:t>
      </w:r>
      <w:r w:rsidRPr="006D7B25">
        <w:rPr>
          <w:sz w:val="20"/>
        </w:rPr>
        <w:t xml:space="preserve">III </w:t>
      </w:r>
      <w:r w:rsidR="00BE7005" w:rsidRPr="006D7B25">
        <w:rPr>
          <w:sz w:val="20"/>
        </w:rPr>
        <w:t>ACH subtests</w:t>
      </w:r>
      <w:r w:rsidRPr="006D7B25">
        <w:rPr>
          <w:sz w:val="20"/>
        </w:rPr>
        <w:t xml:space="preserve">, </w:t>
      </w:r>
      <w:r w:rsidR="00444984" w:rsidRPr="006D7B25">
        <w:rPr>
          <w:sz w:val="20"/>
        </w:rPr>
        <w:t xml:space="preserve">the students </w:t>
      </w:r>
      <w:r w:rsidRPr="006D7B25">
        <w:rPr>
          <w:sz w:val="20"/>
        </w:rPr>
        <w:t xml:space="preserve">showed the </w:t>
      </w:r>
      <w:r w:rsidRPr="00892E75">
        <w:rPr>
          <w:sz w:val="20"/>
        </w:rPr>
        <w:t xml:space="preserve">least improvement on the </w:t>
      </w:r>
      <w:r w:rsidRPr="00892E75">
        <w:rPr>
          <w:i/>
          <w:sz w:val="20"/>
        </w:rPr>
        <w:t>Letter-Word Identification</w:t>
      </w:r>
      <w:r w:rsidRPr="00892E75">
        <w:rPr>
          <w:sz w:val="20"/>
        </w:rPr>
        <w:t xml:space="preserve"> subtest.  Although the average scores for the group suggest a small effect size, only four of the nine </w:t>
      </w:r>
      <w:r w:rsidR="00444984" w:rsidRPr="00892E75">
        <w:rPr>
          <w:sz w:val="20"/>
        </w:rPr>
        <w:t xml:space="preserve">students </w:t>
      </w:r>
      <w:r w:rsidRPr="00892E75">
        <w:rPr>
          <w:sz w:val="20"/>
        </w:rPr>
        <w:t xml:space="preserve">had higher posttest scores on this measure.  </w:t>
      </w:r>
    </w:p>
    <w:p w:rsidR="00892E75" w:rsidRDefault="00892E75" w:rsidP="00D50AD8">
      <w:pPr>
        <w:jc w:val="center"/>
        <w:rPr>
          <w:b/>
          <w:sz w:val="20"/>
          <w:szCs w:val="20"/>
          <w:highlight w:val="yellow"/>
        </w:rPr>
      </w:pPr>
    </w:p>
    <w:p w:rsidR="00892E75" w:rsidRDefault="00892E75" w:rsidP="00D50AD8">
      <w:pPr>
        <w:jc w:val="center"/>
        <w:rPr>
          <w:b/>
          <w:sz w:val="20"/>
          <w:szCs w:val="20"/>
          <w:highlight w:val="yellow"/>
        </w:rPr>
      </w:pPr>
    </w:p>
    <w:p w:rsidR="00892E75" w:rsidRDefault="00892E75" w:rsidP="00D50AD8">
      <w:pPr>
        <w:jc w:val="center"/>
        <w:rPr>
          <w:b/>
          <w:sz w:val="20"/>
          <w:szCs w:val="20"/>
          <w:highlight w:val="yellow"/>
        </w:rPr>
      </w:pPr>
    </w:p>
    <w:p w:rsidR="00892E75" w:rsidRDefault="00892E75" w:rsidP="00D50AD8">
      <w:pPr>
        <w:jc w:val="center"/>
        <w:rPr>
          <w:b/>
          <w:sz w:val="20"/>
          <w:szCs w:val="20"/>
          <w:highlight w:val="yellow"/>
        </w:rPr>
      </w:pPr>
    </w:p>
    <w:p w:rsidR="00892E75" w:rsidRDefault="00892E75" w:rsidP="00D50AD8">
      <w:pPr>
        <w:jc w:val="center"/>
        <w:rPr>
          <w:b/>
          <w:sz w:val="20"/>
          <w:szCs w:val="20"/>
          <w:highlight w:val="yellow"/>
        </w:rPr>
      </w:pPr>
    </w:p>
    <w:p w:rsidR="00892E75" w:rsidRDefault="00892E75" w:rsidP="00D50AD8">
      <w:pPr>
        <w:jc w:val="center"/>
        <w:rPr>
          <w:b/>
          <w:sz w:val="20"/>
          <w:szCs w:val="20"/>
          <w:highlight w:val="yellow"/>
        </w:rPr>
      </w:pPr>
    </w:p>
    <w:p w:rsidR="00892E75" w:rsidRDefault="00892E75" w:rsidP="00D50AD8">
      <w:pPr>
        <w:jc w:val="center"/>
        <w:rPr>
          <w:b/>
          <w:sz w:val="20"/>
          <w:szCs w:val="20"/>
          <w:highlight w:val="yellow"/>
        </w:rPr>
      </w:pPr>
    </w:p>
    <w:p w:rsidR="00892E75" w:rsidRDefault="00892E75" w:rsidP="00D50AD8">
      <w:pPr>
        <w:jc w:val="center"/>
        <w:rPr>
          <w:b/>
          <w:sz w:val="20"/>
          <w:szCs w:val="20"/>
          <w:highlight w:val="yellow"/>
        </w:rPr>
      </w:pPr>
    </w:p>
    <w:p w:rsidR="00892E75" w:rsidRDefault="00892E75" w:rsidP="00D50AD8">
      <w:pPr>
        <w:jc w:val="center"/>
        <w:rPr>
          <w:b/>
          <w:sz w:val="20"/>
          <w:szCs w:val="20"/>
          <w:highlight w:val="yellow"/>
        </w:rPr>
      </w:pPr>
    </w:p>
    <w:p w:rsidR="00892E75" w:rsidRDefault="00892E75" w:rsidP="00D50AD8">
      <w:pPr>
        <w:jc w:val="center"/>
        <w:rPr>
          <w:b/>
          <w:sz w:val="20"/>
          <w:szCs w:val="20"/>
          <w:highlight w:val="yellow"/>
        </w:rPr>
      </w:pPr>
    </w:p>
    <w:p w:rsidR="00D64321" w:rsidRPr="00D50AD8" w:rsidRDefault="00D64321" w:rsidP="00D50AD8">
      <w:pPr>
        <w:jc w:val="center"/>
        <w:rPr>
          <w:b/>
          <w:sz w:val="20"/>
          <w:szCs w:val="20"/>
        </w:rPr>
      </w:pPr>
      <w:r w:rsidRPr="00892E75">
        <w:rPr>
          <w:b/>
          <w:sz w:val="20"/>
          <w:szCs w:val="20"/>
        </w:rPr>
        <w:t>Table 3</w:t>
      </w:r>
      <w:r w:rsidR="00D50AD8" w:rsidRPr="00892E75">
        <w:rPr>
          <w:b/>
          <w:sz w:val="20"/>
          <w:szCs w:val="20"/>
        </w:rPr>
        <w:t xml:space="preserve">. </w:t>
      </w:r>
      <w:r w:rsidRPr="00892E75">
        <w:rPr>
          <w:b/>
          <w:sz w:val="20"/>
          <w:szCs w:val="20"/>
        </w:rPr>
        <w:t xml:space="preserve">Average </w:t>
      </w:r>
      <w:r w:rsidR="004118AD" w:rsidRPr="00892E75">
        <w:rPr>
          <w:b/>
          <w:sz w:val="20"/>
          <w:szCs w:val="20"/>
        </w:rPr>
        <w:t>P</w:t>
      </w:r>
      <w:r w:rsidRPr="00892E75">
        <w:rPr>
          <w:b/>
          <w:sz w:val="20"/>
          <w:szCs w:val="20"/>
        </w:rPr>
        <w:t xml:space="preserve">retest and </w:t>
      </w:r>
      <w:r w:rsidR="004118AD" w:rsidRPr="00892E75">
        <w:rPr>
          <w:b/>
          <w:sz w:val="20"/>
          <w:szCs w:val="20"/>
        </w:rPr>
        <w:t>P</w:t>
      </w:r>
      <w:r w:rsidRPr="00892E75">
        <w:rPr>
          <w:b/>
          <w:sz w:val="20"/>
          <w:szCs w:val="20"/>
        </w:rPr>
        <w:t xml:space="preserve">osttest </w:t>
      </w:r>
      <w:r w:rsidR="004118AD" w:rsidRPr="00892E75">
        <w:rPr>
          <w:b/>
          <w:sz w:val="20"/>
          <w:szCs w:val="20"/>
        </w:rPr>
        <w:t>S</w:t>
      </w:r>
      <w:r w:rsidRPr="00892E75">
        <w:rPr>
          <w:b/>
          <w:sz w:val="20"/>
          <w:szCs w:val="20"/>
        </w:rPr>
        <w:t xml:space="preserve">tandard </w:t>
      </w:r>
      <w:r w:rsidR="004118AD" w:rsidRPr="00892E75">
        <w:rPr>
          <w:b/>
          <w:sz w:val="20"/>
          <w:szCs w:val="20"/>
        </w:rPr>
        <w:t>S</w:t>
      </w:r>
      <w:r w:rsidRPr="00892E75">
        <w:rPr>
          <w:b/>
          <w:sz w:val="20"/>
          <w:szCs w:val="20"/>
        </w:rPr>
        <w:t xml:space="preserve">cores and </w:t>
      </w:r>
      <w:r w:rsidR="004118AD" w:rsidRPr="00892E75">
        <w:rPr>
          <w:b/>
          <w:sz w:val="20"/>
          <w:szCs w:val="20"/>
        </w:rPr>
        <w:t>E</w:t>
      </w:r>
      <w:r w:rsidRPr="00892E75">
        <w:rPr>
          <w:b/>
          <w:sz w:val="20"/>
          <w:szCs w:val="20"/>
        </w:rPr>
        <w:t xml:space="preserve">ffect </w:t>
      </w:r>
      <w:r w:rsidR="004118AD" w:rsidRPr="00892E75">
        <w:rPr>
          <w:b/>
          <w:sz w:val="20"/>
          <w:szCs w:val="20"/>
        </w:rPr>
        <w:t>S</w:t>
      </w:r>
      <w:r w:rsidRPr="00892E75">
        <w:rPr>
          <w:b/>
          <w:sz w:val="20"/>
          <w:szCs w:val="20"/>
        </w:rPr>
        <w:t>izes</w:t>
      </w:r>
    </w:p>
    <w:tbl>
      <w:tblPr>
        <w:tblpPr w:leftFromText="180" w:rightFromText="180" w:vertAnchor="text" w:tblpY="1"/>
        <w:tblOverlap w:val="never"/>
        <w:tblW w:w="9108" w:type="dxa"/>
        <w:tblLook w:val="04A0"/>
      </w:tblPr>
      <w:tblGrid>
        <w:gridCol w:w="2088"/>
        <w:gridCol w:w="1890"/>
        <w:gridCol w:w="2070"/>
        <w:gridCol w:w="1530"/>
        <w:gridCol w:w="1530"/>
      </w:tblGrid>
      <w:tr w:rsidR="00D64321" w:rsidRPr="006D7B25" w:rsidTr="00D82C05">
        <w:tc>
          <w:tcPr>
            <w:tcW w:w="2088" w:type="dxa"/>
            <w:tcBorders>
              <w:bottom w:val="single" w:sz="4" w:space="0" w:color="000000"/>
            </w:tcBorders>
          </w:tcPr>
          <w:p w:rsidR="00D64321" w:rsidRPr="006D7B25" w:rsidRDefault="00D64321" w:rsidP="006D7B25">
            <w:pPr>
              <w:jc w:val="both"/>
              <w:rPr>
                <w:sz w:val="20"/>
                <w:szCs w:val="20"/>
              </w:rPr>
            </w:pPr>
            <w:r w:rsidRPr="006D7B25">
              <w:rPr>
                <w:sz w:val="20"/>
                <w:szCs w:val="20"/>
              </w:rPr>
              <w:t>Source</w:t>
            </w:r>
          </w:p>
        </w:tc>
        <w:tc>
          <w:tcPr>
            <w:tcW w:w="1890" w:type="dxa"/>
            <w:tcBorders>
              <w:bottom w:val="single" w:sz="4" w:space="0" w:color="000000"/>
            </w:tcBorders>
          </w:tcPr>
          <w:p w:rsidR="00D64321" w:rsidRPr="006D7B25" w:rsidRDefault="00D64321" w:rsidP="006D7B25">
            <w:pPr>
              <w:jc w:val="both"/>
              <w:rPr>
                <w:sz w:val="20"/>
                <w:szCs w:val="20"/>
              </w:rPr>
            </w:pPr>
            <w:r w:rsidRPr="006D7B25">
              <w:rPr>
                <w:sz w:val="20"/>
                <w:szCs w:val="20"/>
              </w:rPr>
              <w:t xml:space="preserve">Pretest </w:t>
            </w:r>
          </w:p>
        </w:tc>
        <w:tc>
          <w:tcPr>
            <w:tcW w:w="2070" w:type="dxa"/>
            <w:tcBorders>
              <w:bottom w:val="single" w:sz="4" w:space="0" w:color="000000"/>
            </w:tcBorders>
          </w:tcPr>
          <w:p w:rsidR="00D64321" w:rsidRPr="006D7B25" w:rsidRDefault="00D64321" w:rsidP="006D7B25">
            <w:pPr>
              <w:jc w:val="both"/>
              <w:rPr>
                <w:sz w:val="20"/>
                <w:szCs w:val="20"/>
              </w:rPr>
            </w:pPr>
            <w:r w:rsidRPr="006D7B25">
              <w:rPr>
                <w:sz w:val="20"/>
                <w:szCs w:val="20"/>
              </w:rPr>
              <w:t xml:space="preserve">Posttest </w:t>
            </w:r>
          </w:p>
        </w:tc>
        <w:tc>
          <w:tcPr>
            <w:tcW w:w="1530" w:type="dxa"/>
            <w:tcBorders>
              <w:bottom w:val="single" w:sz="4" w:space="0" w:color="000000"/>
            </w:tcBorders>
          </w:tcPr>
          <w:p w:rsidR="00D64321" w:rsidRPr="006D7B25" w:rsidRDefault="00D64321" w:rsidP="006D7B25">
            <w:pPr>
              <w:jc w:val="both"/>
              <w:rPr>
                <w:sz w:val="20"/>
                <w:szCs w:val="20"/>
              </w:rPr>
            </w:pPr>
            <w:r w:rsidRPr="006D7B25">
              <w:rPr>
                <w:sz w:val="20"/>
                <w:szCs w:val="20"/>
              </w:rPr>
              <w:t>Effect Size</w:t>
            </w:r>
          </w:p>
        </w:tc>
        <w:tc>
          <w:tcPr>
            <w:tcW w:w="1530" w:type="dxa"/>
            <w:tcBorders>
              <w:bottom w:val="single" w:sz="4" w:space="0" w:color="000000"/>
            </w:tcBorders>
          </w:tcPr>
          <w:p w:rsidR="00D64321" w:rsidRPr="006D7B25" w:rsidRDefault="00D64321" w:rsidP="006D7B25">
            <w:pPr>
              <w:jc w:val="both"/>
              <w:rPr>
                <w:sz w:val="20"/>
                <w:szCs w:val="20"/>
              </w:rPr>
            </w:pPr>
            <w:r w:rsidRPr="006D7B25">
              <w:rPr>
                <w:sz w:val="20"/>
                <w:szCs w:val="20"/>
              </w:rPr>
              <w:t>Description</w:t>
            </w:r>
          </w:p>
        </w:tc>
      </w:tr>
      <w:tr w:rsidR="00D64321" w:rsidRPr="006D7B25" w:rsidTr="00D82C05">
        <w:tc>
          <w:tcPr>
            <w:tcW w:w="2088" w:type="dxa"/>
            <w:tcBorders>
              <w:top w:val="single" w:sz="4" w:space="0" w:color="000000"/>
              <w:bottom w:val="single" w:sz="4" w:space="0" w:color="000000"/>
            </w:tcBorders>
          </w:tcPr>
          <w:p w:rsidR="00D64321" w:rsidRPr="006D7B25" w:rsidRDefault="00D64321" w:rsidP="006D7B25">
            <w:pPr>
              <w:jc w:val="both"/>
              <w:rPr>
                <w:sz w:val="20"/>
                <w:szCs w:val="20"/>
              </w:rPr>
            </w:pPr>
          </w:p>
        </w:tc>
        <w:tc>
          <w:tcPr>
            <w:tcW w:w="1890" w:type="dxa"/>
            <w:tcBorders>
              <w:top w:val="single" w:sz="4" w:space="0" w:color="000000"/>
              <w:bottom w:val="single" w:sz="4" w:space="0" w:color="000000"/>
            </w:tcBorders>
          </w:tcPr>
          <w:p w:rsidR="00D64321" w:rsidRPr="006D7B25" w:rsidRDefault="00D64321" w:rsidP="006D7B25">
            <w:pPr>
              <w:jc w:val="both"/>
              <w:rPr>
                <w:sz w:val="20"/>
                <w:szCs w:val="20"/>
              </w:rPr>
            </w:pPr>
            <w:r w:rsidRPr="006D7B25">
              <w:rPr>
                <w:sz w:val="20"/>
                <w:szCs w:val="20"/>
              </w:rPr>
              <w:t>Mean (SD)</w:t>
            </w:r>
          </w:p>
        </w:tc>
        <w:tc>
          <w:tcPr>
            <w:tcW w:w="2070" w:type="dxa"/>
            <w:tcBorders>
              <w:top w:val="single" w:sz="4" w:space="0" w:color="000000"/>
              <w:bottom w:val="single" w:sz="4" w:space="0" w:color="000000"/>
            </w:tcBorders>
          </w:tcPr>
          <w:p w:rsidR="00D64321" w:rsidRPr="006D7B25" w:rsidRDefault="00D64321" w:rsidP="006D7B25">
            <w:pPr>
              <w:jc w:val="both"/>
              <w:rPr>
                <w:sz w:val="20"/>
                <w:szCs w:val="20"/>
              </w:rPr>
            </w:pPr>
            <w:r w:rsidRPr="006D7B25">
              <w:rPr>
                <w:sz w:val="20"/>
                <w:szCs w:val="20"/>
              </w:rPr>
              <w:t>Mean (SD)</w:t>
            </w:r>
          </w:p>
        </w:tc>
        <w:tc>
          <w:tcPr>
            <w:tcW w:w="1530" w:type="dxa"/>
            <w:tcBorders>
              <w:top w:val="single" w:sz="4" w:space="0" w:color="000000"/>
              <w:bottom w:val="single" w:sz="4" w:space="0" w:color="000000"/>
            </w:tcBorders>
          </w:tcPr>
          <w:p w:rsidR="00D64321" w:rsidRPr="006D7B25" w:rsidRDefault="00D64321" w:rsidP="006D7B25">
            <w:pPr>
              <w:jc w:val="both"/>
              <w:rPr>
                <w:i/>
                <w:sz w:val="20"/>
                <w:szCs w:val="20"/>
              </w:rPr>
            </w:pPr>
            <w:r w:rsidRPr="006D7B25">
              <w:rPr>
                <w:i/>
                <w:sz w:val="20"/>
                <w:szCs w:val="20"/>
              </w:rPr>
              <w:t>d</w:t>
            </w:r>
          </w:p>
        </w:tc>
        <w:tc>
          <w:tcPr>
            <w:tcW w:w="1530" w:type="dxa"/>
            <w:tcBorders>
              <w:top w:val="single" w:sz="4" w:space="0" w:color="000000"/>
              <w:bottom w:val="single" w:sz="4" w:space="0" w:color="000000"/>
            </w:tcBorders>
          </w:tcPr>
          <w:p w:rsidR="00D64321" w:rsidRPr="006D7B25" w:rsidRDefault="00D64321" w:rsidP="006D7B25">
            <w:pPr>
              <w:jc w:val="both"/>
              <w:rPr>
                <w:sz w:val="20"/>
                <w:szCs w:val="20"/>
              </w:rPr>
            </w:pPr>
          </w:p>
        </w:tc>
      </w:tr>
      <w:tr w:rsidR="00D64321" w:rsidRPr="006D7B25" w:rsidTr="00D82C05">
        <w:tc>
          <w:tcPr>
            <w:tcW w:w="2088" w:type="dxa"/>
            <w:tcBorders>
              <w:top w:val="single" w:sz="4" w:space="0" w:color="000000"/>
            </w:tcBorders>
            <w:vAlign w:val="center"/>
          </w:tcPr>
          <w:p w:rsidR="00D64321" w:rsidRPr="006D7B25" w:rsidRDefault="00D64321" w:rsidP="006D7B25">
            <w:pPr>
              <w:jc w:val="both"/>
              <w:rPr>
                <w:sz w:val="20"/>
                <w:szCs w:val="20"/>
              </w:rPr>
            </w:pPr>
            <w:r w:rsidRPr="006D7B25">
              <w:rPr>
                <w:sz w:val="20"/>
                <w:szCs w:val="20"/>
              </w:rPr>
              <w:t>Letter-Wd Id</w:t>
            </w:r>
          </w:p>
        </w:tc>
        <w:tc>
          <w:tcPr>
            <w:tcW w:w="1890" w:type="dxa"/>
            <w:tcBorders>
              <w:top w:val="single" w:sz="4" w:space="0" w:color="000000"/>
            </w:tcBorders>
          </w:tcPr>
          <w:p w:rsidR="00D64321" w:rsidRPr="006D7B25" w:rsidRDefault="00D64321" w:rsidP="006D7B25">
            <w:pPr>
              <w:jc w:val="both"/>
              <w:rPr>
                <w:sz w:val="20"/>
                <w:szCs w:val="20"/>
              </w:rPr>
            </w:pPr>
            <w:r w:rsidRPr="006D7B25">
              <w:rPr>
                <w:sz w:val="20"/>
                <w:szCs w:val="20"/>
              </w:rPr>
              <w:t>69.22 (15.46)</w:t>
            </w:r>
          </w:p>
        </w:tc>
        <w:tc>
          <w:tcPr>
            <w:tcW w:w="2070" w:type="dxa"/>
            <w:tcBorders>
              <w:top w:val="single" w:sz="4" w:space="0" w:color="000000"/>
            </w:tcBorders>
          </w:tcPr>
          <w:p w:rsidR="00D64321" w:rsidRPr="006D7B25" w:rsidRDefault="00D64321" w:rsidP="006D7B25">
            <w:pPr>
              <w:jc w:val="both"/>
              <w:rPr>
                <w:sz w:val="20"/>
                <w:szCs w:val="20"/>
              </w:rPr>
            </w:pPr>
            <w:r w:rsidRPr="006D7B25">
              <w:rPr>
                <w:sz w:val="20"/>
                <w:szCs w:val="20"/>
              </w:rPr>
              <w:t>72.44 (18.46)</w:t>
            </w:r>
          </w:p>
        </w:tc>
        <w:tc>
          <w:tcPr>
            <w:tcW w:w="1530" w:type="dxa"/>
            <w:tcBorders>
              <w:top w:val="single" w:sz="4" w:space="0" w:color="000000"/>
            </w:tcBorders>
          </w:tcPr>
          <w:p w:rsidR="00D64321" w:rsidRPr="006D7B25" w:rsidRDefault="00D64321" w:rsidP="006D7B25">
            <w:pPr>
              <w:pStyle w:val="10TableText"/>
              <w:jc w:val="both"/>
              <w:rPr>
                <w:sz w:val="20"/>
                <w:szCs w:val="20"/>
              </w:rPr>
            </w:pPr>
            <w:r w:rsidRPr="006D7B25">
              <w:rPr>
                <w:sz w:val="20"/>
                <w:szCs w:val="20"/>
              </w:rPr>
              <w:t>.19</w:t>
            </w:r>
          </w:p>
        </w:tc>
        <w:tc>
          <w:tcPr>
            <w:tcW w:w="1530" w:type="dxa"/>
            <w:tcBorders>
              <w:top w:val="single" w:sz="4" w:space="0" w:color="000000"/>
            </w:tcBorders>
          </w:tcPr>
          <w:p w:rsidR="00D64321" w:rsidRPr="006D7B25" w:rsidRDefault="00D64321" w:rsidP="006D7B25">
            <w:pPr>
              <w:pStyle w:val="10TableText"/>
              <w:jc w:val="both"/>
              <w:rPr>
                <w:sz w:val="20"/>
                <w:szCs w:val="20"/>
              </w:rPr>
            </w:pPr>
            <w:r w:rsidRPr="006D7B25">
              <w:rPr>
                <w:sz w:val="20"/>
                <w:szCs w:val="20"/>
              </w:rPr>
              <w:t>small</w:t>
            </w:r>
          </w:p>
        </w:tc>
      </w:tr>
      <w:tr w:rsidR="00D64321" w:rsidRPr="006D7B25" w:rsidTr="00D82C05">
        <w:tc>
          <w:tcPr>
            <w:tcW w:w="2088" w:type="dxa"/>
            <w:vAlign w:val="center"/>
          </w:tcPr>
          <w:p w:rsidR="00D64321" w:rsidRPr="006D7B25" w:rsidRDefault="00D64321" w:rsidP="006D7B25">
            <w:pPr>
              <w:jc w:val="both"/>
              <w:rPr>
                <w:sz w:val="20"/>
                <w:szCs w:val="20"/>
              </w:rPr>
            </w:pPr>
            <w:r w:rsidRPr="006D7B25">
              <w:rPr>
                <w:sz w:val="20"/>
                <w:szCs w:val="20"/>
              </w:rPr>
              <w:t>Spelling</w:t>
            </w:r>
          </w:p>
        </w:tc>
        <w:tc>
          <w:tcPr>
            <w:tcW w:w="1890" w:type="dxa"/>
          </w:tcPr>
          <w:p w:rsidR="00D64321" w:rsidRPr="006D7B25" w:rsidRDefault="00D64321" w:rsidP="006D7B25">
            <w:pPr>
              <w:jc w:val="both"/>
              <w:rPr>
                <w:sz w:val="20"/>
                <w:szCs w:val="20"/>
              </w:rPr>
            </w:pPr>
            <w:r w:rsidRPr="006D7B25">
              <w:rPr>
                <w:sz w:val="20"/>
                <w:szCs w:val="20"/>
              </w:rPr>
              <w:t>64.11 (13.71)</w:t>
            </w:r>
          </w:p>
        </w:tc>
        <w:tc>
          <w:tcPr>
            <w:tcW w:w="2070" w:type="dxa"/>
          </w:tcPr>
          <w:p w:rsidR="00D64321" w:rsidRPr="006D7B25" w:rsidRDefault="00D64321" w:rsidP="006D7B25">
            <w:pPr>
              <w:jc w:val="both"/>
              <w:rPr>
                <w:sz w:val="20"/>
                <w:szCs w:val="20"/>
              </w:rPr>
            </w:pPr>
            <w:r w:rsidRPr="006D7B25">
              <w:rPr>
                <w:sz w:val="20"/>
                <w:szCs w:val="20"/>
              </w:rPr>
              <w:t>72.11 (16.32)</w:t>
            </w:r>
          </w:p>
        </w:tc>
        <w:tc>
          <w:tcPr>
            <w:tcW w:w="1530" w:type="dxa"/>
          </w:tcPr>
          <w:p w:rsidR="00D64321" w:rsidRPr="006D7B25" w:rsidRDefault="00D64321" w:rsidP="006D7B25">
            <w:pPr>
              <w:pStyle w:val="10TableText"/>
              <w:jc w:val="both"/>
              <w:rPr>
                <w:sz w:val="20"/>
                <w:szCs w:val="20"/>
              </w:rPr>
            </w:pPr>
            <w:r w:rsidRPr="006D7B25">
              <w:rPr>
                <w:sz w:val="20"/>
                <w:szCs w:val="20"/>
              </w:rPr>
              <w:t>.53</w:t>
            </w:r>
          </w:p>
        </w:tc>
        <w:tc>
          <w:tcPr>
            <w:tcW w:w="1530" w:type="dxa"/>
          </w:tcPr>
          <w:p w:rsidR="00D64321" w:rsidRPr="006D7B25" w:rsidRDefault="00D64321" w:rsidP="006D7B25">
            <w:pPr>
              <w:pStyle w:val="10TableText"/>
              <w:jc w:val="both"/>
              <w:rPr>
                <w:sz w:val="20"/>
                <w:szCs w:val="20"/>
              </w:rPr>
            </w:pPr>
            <w:r w:rsidRPr="006D7B25">
              <w:rPr>
                <w:sz w:val="20"/>
                <w:szCs w:val="20"/>
              </w:rPr>
              <w:t>medium</w:t>
            </w:r>
          </w:p>
        </w:tc>
      </w:tr>
      <w:tr w:rsidR="00D64321" w:rsidRPr="006D7B25" w:rsidTr="00D82C05">
        <w:tc>
          <w:tcPr>
            <w:tcW w:w="2088" w:type="dxa"/>
            <w:vAlign w:val="center"/>
          </w:tcPr>
          <w:p w:rsidR="00D64321" w:rsidRPr="006D7B25" w:rsidRDefault="00D64321" w:rsidP="006D7B25">
            <w:pPr>
              <w:jc w:val="both"/>
              <w:rPr>
                <w:sz w:val="20"/>
                <w:szCs w:val="20"/>
              </w:rPr>
            </w:pPr>
            <w:r w:rsidRPr="006D7B25">
              <w:rPr>
                <w:sz w:val="20"/>
                <w:szCs w:val="20"/>
              </w:rPr>
              <w:t>Word  Attack</w:t>
            </w:r>
          </w:p>
        </w:tc>
        <w:tc>
          <w:tcPr>
            <w:tcW w:w="1890" w:type="dxa"/>
          </w:tcPr>
          <w:p w:rsidR="00D64321" w:rsidRPr="006D7B25" w:rsidRDefault="00D64321" w:rsidP="006D7B25">
            <w:pPr>
              <w:jc w:val="both"/>
              <w:rPr>
                <w:sz w:val="20"/>
                <w:szCs w:val="20"/>
              </w:rPr>
            </w:pPr>
            <w:r w:rsidRPr="006D7B25">
              <w:rPr>
                <w:sz w:val="20"/>
                <w:szCs w:val="20"/>
              </w:rPr>
              <w:t>76.78 (6.78)</w:t>
            </w:r>
          </w:p>
        </w:tc>
        <w:tc>
          <w:tcPr>
            <w:tcW w:w="2070" w:type="dxa"/>
          </w:tcPr>
          <w:p w:rsidR="00D64321" w:rsidRPr="006D7B25" w:rsidRDefault="00D64321" w:rsidP="006D7B25">
            <w:pPr>
              <w:jc w:val="both"/>
              <w:rPr>
                <w:sz w:val="20"/>
                <w:szCs w:val="20"/>
              </w:rPr>
            </w:pPr>
            <w:r w:rsidRPr="006D7B25">
              <w:rPr>
                <w:sz w:val="20"/>
                <w:szCs w:val="20"/>
              </w:rPr>
              <w:t>88.47 (12.50)</w:t>
            </w:r>
          </w:p>
        </w:tc>
        <w:tc>
          <w:tcPr>
            <w:tcW w:w="1530" w:type="dxa"/>
          </w:tcPr>
          <w:p w:rsidR="00D64321" w:rsidRPr="006D7B25" w:rsidRDefault="00D64321" w:rsidP="006D7B25">
            <w:pPr>
              <w:pStyle w:val="10TableText"/>
              <w:jc w:val="both"/>
              <w:rPr>
                <w:sz w:val="20"/>
                <w:szCs w:val="20"/>
              </w:rPr>
            </w:pPr>
            <w:r w:rsidRPr="006D7B25">
              <w:rPr>
                <w:sz w:val="20"/>
                <w:szCs w:val="20"/>
              </w:rPr>
              <w:t>1.06</w:t>
            </w:r>
          </w:p>
        </w:tc>
        <w:tc>
          <w:tcPr>
            <w:tcW w:w="1530" w:type="dxa"/>
          </w:tcPr>
          <w:p w:rsidR="00D64321" w:rsidRPr="006D7B25" w:rsidRDefault="00D64321" w:rsidP="006D7B25">
            <w:pPr>
              <w:pStyle w:val="10TableText"/>
              <w:jc w:val="both"/>
              <w:rPr>
                <w:sz w:val="20"/>
                <w:szCs w:val="20"/>
              </w:rPr>
            </w:pPr>
            <w:r w:rsidRPr="006D7B25">
              <w:rPr>
                <w:sz w:val="20"/>
                <w:szCs w:val="20"/>
              </w:rPr>
              <w:t>large</w:t>
            </w:r>
          </w:p>
        </w:tc>
      </w:tr>
      <w:tr w:rsidR="00D64321" w:rsidRPr="006D7B25" w:rsidTr="00D82C05">
        <w:tc>
          <w:tcPr>
            <w:tcW w:w="2088" w:type="dxa"/>
            <w:tcBorders>
              <w:bottom w:val="single" w:sz="8" w:space="0" w:color="auto"/>
            </w:tcBorders>
            <w:vAlign w:val="center"/>
          </w:tcPr>
          <w:p w:rsidR="00D64321" w:rsidRPr="006D7B25" w:rsidRDefault="00D64321" w:rsidP="006D7B25">
            <w:pPr>
              <w:jc w:val="both"/>
              <w:rPr>
                <w:sz w:val="20"/>
                <w:szCs w:val="20"/>
              </w:rPr>
            </w:pPr>
            <w:r w:rsidRPr="006D7B25">
              <w:rPr>
                <w:sz w:val="20"/>
                <w:szCs w:val="20"/>
              </w:rPr>
              <w:t>Sound Awareness</w:t>
            </w:r>
          </w:p>
        </w:tc>
        <w:tc>
          <w:tcPr>
            <w:tcW w:w="1890" w:type="dxa"/>
            <w:tcBorders>
              <w:bottom w:val="single" w:sz="8" w:space="0" w:color="auto"/>
            </w:tcBorders>
          </w:tcPr>
          <w:p w:rsidR="00D64321" w:rsidRPr="006D7B25" w:rsidRDefault="00D64321" w:rsidP="006D7B25">
            <w:pPr>
              <w:jc w:val="both"/>
              <w:rPr>
                <w:sz w:val="20"/>
                <w:szCs w:val="20"/>
              </w:rPr>
            </w:pPr>
            <w:r w:rsidRPr="006D7B25">
              <w:rPr>
                <w:sz w:val="20"/>
                <w:szCs w:val="20"/>
              </w:rPr>
              <w:t>74.67 (12.03)</w:t>
            </w:r>
          </w:p>
        </w:tc>
        <w:tc>
          <w:tcPr>
            <w:tcW w:w="2070" w:type="dxa"/>
            <w:tcBorders>
              <w:bottom w:val="single" w:sz="8" w:space="0" w:color="auto"/>
            </w:tcBorders>
          </w:tcPr>
          <w:p w:rsidR="00D64321" w:rsidRPr="006D7B25" w:rsidRDefault="00D64321" w:rsidP="006D7B25">
            <w:pPr>
              <w:jc w:val="both"/>
              <w:rPr>
                <w:sz w:val="20"/>
                <w:szCs w:val="20"/>
              </w:rPr>
            </w:pPr>
            <w:r w:rsidRPr="006D7B25">
              <w:rPr>
                <w:sz w:val="20"/>
                <w:szCs w:val="20"/>
              </w:rPr>
              <w:t>82.78 (17.46)</w:t>
            </w:r>
          </w:p>
        </w:tc>
        <w:tc>
          <w:tcPr>
            <w:tcW w:w="1530" w:type="dxa"/>
            <w:tcBorders>
              <w:bottom w:val="single" w:sz="8" w:space="0" w:color="auto"/>
            </w:tcBorders>
          </w:tcPr>
          <w:p w:rsidR="00D64321" w:rsidRPr="006D7B25" w:rsidRDefault="00D64321" w:rsidP="006D7B25">
            <w:pPr>
              <w:pStyle w:val="10TableText"/>
              <w:jc w:val="both"/>
              <w:rPr>
                <w:sz w:val="20"/>
                <w:szCs w:val="20"/>
              </w:rPr>
            </w:pPr>
            <w:r w:rsidRPr="006D7B25">
              <w:rPr>
                <w:sz w:val="20"/>
                <w:szCs w:val="20"/>
              </w:rPr>
              <w:t>.54</w:t>
            </w:r>
          </w:p>
        </w:tc>
        <w:tc>
          <w:tcPr>
            <w:tcW w:w="1530" w:type="dxa"/>
            <w:tcBorders>
              <w:bottom w:val="single" w:sz="8" w:space="0" w:color="auto"/>
            </w:tcBorders>
          </w:tcPr>
          <w:p w:rsidR="00D64321" w:rsidRPr="006D7B25" w:rsidRDefault="00D64321" w:rsidP="006D7B25">
            <w:pPr>
              <w:pStyle w:val="10TableText"/>
              <w:jc w:val="both"/>
              <w:rPr>
                <w:sz w:val="20"/>
                <w:szCs w:val="20"/>
              </w:rPr>
            </w:pPr>
            <w:r w:rsidRPr="006D7B25">
              <w:rPr>
                <w:sz w:val="20"/>
                <w:szCs w:val="20"/>
              </w:rPr>
              <w:t>medium</w:t>
            </w:r>
          </w:p>
        </w:tc>
      </w:tr>
      <w:tr w:rsidR="00D64321" w:rsidRPr="006D7B25" w:rsidTr="00D82C05">
        <w:tc>
          <w:tcPr>
            <w:tcW w:w="2088" w:type="dxa"/>
            <w:tcBorders>
              <w:top w:val="single" w:sz="8" w:space="0" w:color="auto"/>
              <w:bottom w:val="single" w:sz="8" w:space="0" w:color="auto"/>
            </w:tcBorders>
            <w:vAlign w:val="center"/>
          </w:tcPr>
          <w:p w:rsidR="00D64321" w:rsidRPr="006D7B25" w:rsidRDefault="00D64321" w:rsidP="006D7B25">
            <w:pPr>
              <w:jc w:val="both"/>
              <w:rPr>
                <w:sz w:val="20"/>
                <w:szCs w:val="20"/>
              </w:rPr>
            </w:pPr>
            <w:r w:rsidRPr="006D7B25">
              <w:rPr>
                <w:sz w:val="20"/>
                <w:szCs w:val="20"/>
              </w:rPr>
              <w:t>TOWRE</w:t>
            </w:r>
          </w:p>
        </w:tc>
        <w:tc>
          <w:tcPr>
            <w:tcW w:w="1890" w:type="dxa"/>
            <w:tcBorders>
              <w:top w:val="single" w:sz="8" w:space="0" w:color="auto"/>
              <w:bottom w:val="single" w:sz="8" w:space="0" w:color="auto"/>
            </w:tcBorders>
          </w:tcPr>
          <w:p w:rsidR="00D64321" w:rsidRPr="006D7B25" w:rsidRDefault="00D64321" w:rsidP="006D7B25">
            <w:pPr>
              <w:jc w:val="both"/>
              <w:rPr>
                <w:sz w:val="20"/>
                <w:szCs w:val="20"/>
              </w:rPr>
            </w:pPr>
          </w:p>
        </w:tc>
        <w:tc>
          <w:tcPr>
            <w:tcW w:w="2070" w:type="dxa"/>
            <w:tcBorders>
              <w:top w:val="single" w:sz="8" w:space="0" w:color="auto"/>
              <w:bottom w:val="single" w:sz="8" w:space="0" w:color="auto"/>
            </w:tcBorders>
          </w:tcPr>
          <w:p w:rsidR="00D64321" w:rsidRPr="006D7B25" w:rsidRDefault="00D64321" w:rsidP="006D7B25">
            <w:pPr>
              <w:jc w:val="both"/>
              <w:rPr>
                <w:sz w:val="20"/>
                <w:szCs w:val="20"/>
              </w:rPr>
            </w:pPr>
          </w:p>
        </w:tc>
        <w:tc>
          <w:tcPr>
            <w:tcW w:w="1530" w:type="dxa"/>
            <w:tcBorders>
              <w:top w:val="single" w:sz="8" w:space="0" w:color="auto"/>
              <w:bottom w:val="single" w:sz="8" w:space="0" w:color="auto"/>
            </w:tcBorders>
          </w:tcPr>
          <w:p w:rsidR="00D64321" w:rsidRPr="006D7B25" w:rsidRDefault="00D64321" w:rsidP="006D7B25">
            <w:pPr>
              <w:pStyle w:val="10TableText"/>
              <w:jc w:val="both"/>
              <w:rPr>
                <w:sz w:val="20"/>
                <w:szCs w:val="20"/>
              </w:rPr>
            </w:pPr>
          </w:p>
        </w:tc>
        <w:tc>
          <w:tcPr>
            <w:tcW w:w="1530" w:type="dxa"/>
            <w:tcBorders>
              <w:top w:val="single" w:sz="8" w:space="0" w:color="auto"/>
              <w:bottom w:val="single" w:sz="8" w:space="0" w:color="auto"/>
            </w:tcBorders>
          </w:tcPr>
          <w:p w:rsidR="00D64321" w:rsidRPr="006D7B25" w:rsidRDefault="00D64321" w:rsidP="006D7B25">
            <w:pPr>
              <w:pStyle w:val="10TableText"/>
              <w:jc w:val="both"/>
              <w:rPr>
                <w:sz w:val="20"/>
                <w:szCs w:val="20"/>
              </w:rPr>
            </w:pPr>
          </w:p>
        </w:tc>
      </w:tr>
      <w:tr w:rsidR="00D64321" w:rsidRPr="006D7B25" w:rsidTr="00D82C05">
        <w:tc>
          <w:tcPr>
            <w:tcW w:w="2088" w:type="dxa"/>
            <w:tcBorders>
              <w:top w:val="single" w:sz="8" w:space="0" w:color="auto"/>
            </w:tcBorders>
            <w:vAlign w:val="center"/>
          </w:tcPr>
          <w:p w:rsidR="00D64321" w:rsidRPr="006D7B25" w:rsidRDefault="00D64321" w:rsidP="006D7B25">
            <w:pPr>
              <w:jc w:val="both"/>
              <w:rPr>
                <w:sz w:val="20"/>
                <w:szCs w:val="20"/>
              </w:rPr>
            </w:pPr>
            <w:r w:rsidRPr="006D7B25">
              <w:rPr>
                <w:sz w:val="20"/>
                <w:szCs w:val="20"/>
              </w:rPr>
              <w:t>Sight Word Efficiency</w:t>
            </w:r>
          </w:p>
        </w:tc>
        <w:tc>
          <w:tcPr>
            <w:tcW w:w="1890" w:type="dxa"/>
            <w:tcBorders>
              <w:top w:val="single" w:sz="8" w:space="0" w:color="auto"/>
            </w:tcBorders>
          </w:tcPr>
          <w:p w:rsidR="00D64321" w:rsidRPr="006D7B25" w:rsidRDefault="00D64321" w:rsidP="006D7B25">
            <w:pPr>
              <w:jc w:val="both"/>
              <w:rPr>
                <w:sz w:val="20"/>
                <w:szCs w:val="20"/>
              </w:rPr>
            </w:pPr>
            <w:r w:rsidRPr="006D7B25">
              <w:rPr>
                <w:sz w:val="20"/>
                <w:szCs w:val="20"/>
              </w:rPr>
              <w:t>64.78 (13.24)</w:t>
            </w:r>
          </w:p>
        </w:tc>
        <w:tc>
          <w:tcPr>
            <w:tcW w:w="2070" w:type="dxa"/>
            <w:tcBorders>
              <w:top w:val="single" w:sz="8" w:space="0" w:color="auto"/>
            </w:tcBorders>
          </w:tcPr>
          <w:p w:rsidR="00D64321" w:rsidRPr="006D7B25" w:rsidRDefault="00D64321" w:rsidP="006D7B25">
            <w:pPr>
              <w:jc w:val="both"/>
              <w:rPr>
                <w:sz w:val="20"/>
                <w:szCs w:val="20"/>
              </w:rPr>
            </w:pPr>
            <w:r w:rsidRPr="006D7B25">
              <w:rPr>
                <w:sz w:val="20"/>
                <w:szCs w:val="20"/>
              </w:rPr>
              <w:t>68.89 (10.83)</w:t>
            </w:r>
          </w:p>
        </w:tc>
        <w:tc>
          <w:tcPr>
            <w:tcW w:w="1530" w:type="dxa"/>
            <w:tcBorders>
              <w:top w:val="single" w:sz="8" w:space="0" w:color="auto"/>
            </w:tcBorders>
          </w:tcPr>
          <w:p w:rsidR="00D64321" w:rsidRPr="006D7B25" w:rsidRDefault="00D64321" w:rsidP="006D7B25">
            <w:pPr>
              <w:pStyle w:val="10TableText"/>
              <w:jc w:val="both"/>
              <w:rPr>
                <w:sz w:val="20"/>
                <w:szCs w:val="20"/>
              </w:rPr>
            </w:pPr>
            <w:r w:rsidRPr="006D7B25">
              <w:rPr>
                <w:sz w:val="20"/>
                <w:szCs w:val="20"/>
              </w:rPr>
              <w:t>.34</w:t>
            </w:r>
          </w:p>
        </w:tc>
        <w:tc>
          <w:tcPr>
            <w:tcW w:w="1530" w:type="dxa"/>
            <w:tcBorders>
              <w:top w:val="single" w:sz="8" w:space="0" w:color="auto"/>
            </w:tcBorders>
          </w:tcPr>
          <w:p w:rsidR="00D64321" w:rsidRPr="006D7B25" w:rsidRDefault="00D64321" w:rsidP="006D7B25">
            <w:pPr>
              <w:pStyle w:val="10TableText"/>
              <w:jc w:val="both"/>
              <w:rPr>
                <w:sz w:val="20"/>
                <w:szCs w:val="20"/>
              </w:rPr>
            </w:pPr>
            <w:r w:rsidRPr="006D7B25">
              <w:rPr>
                <w:sz w:val="20"/>
                <w:szCs w:val="20"/>
              </w:rPr>
              <w:t>small</w:t>
            </w:r>
          </w:p>
        </w:tc>
      </w:tr>
      <w:tr w:rsidR="00D64321" w:rsidRPr="006D7B25" w:rsidTr="00D82C05">
        <w:tc>
          <w:tcPr>
            <w:tcW w:w="2088" w:type="dxa"/>
            <w:tcBorders>
              <w:bottom w:val="single" w:sz="4" w:space="0" w:color="000000"/>
            </w:tcBorders>
            <w:vAlign w:val="center"/>
          </w:tcPr>
          <w:p w:rsidR="00D64321" w:rsidRPr="006D7B25" w:rsidRDefault="0045666C" w:rsidP="006D7B25">
            <w:pPr>
              <w:jc w:val="both"/>
              <w:rPr>
                <w:sz w:val="20"/>
                <w:szCs w:val="20"/>
              </w:rPr>
            </w:pPr>
            <w:r>
              <w:rPr>
                <w:sz w:val="20"/>
                <w:szCs w:val="20"/>
              </w:rPr>
              <w:t xml:space="preserve">Phonemic Decoding </w:t>
            </w:r>
            <w:r w:rsidR="00D64321" w:rsidRPr="006D7B25">
              <w:rPr>
                <w:sz w:val="20"/>
                <w:szCs w:val="20"/>
              </w:rPr>
              <w:t>Efficiency</w:t>
            </w:r>
          </w:p>
        </w:tc>
        <w:tc>
          <w:tcPr>
            <w:tcW w:w="1890" w:type="dxa"/>
            <w:tcBorders>
              <w:bottom w:val="single" w:sz="4" w:space="0" w:color="000000"/>
            </w:tcBorders>
          </w:tcPr>
          <w:p w:rsidR="00D64321" w:rsidRPr="006D7B25" w:rsidRDefault="00D64321" w:rsidP="006D7B25">
            <w:pPr>
              <w:jc w:val="both"/>
              <w:rPr>
                <w:sz w:val="20"/>
                <w:szCs w:val="20"/>
              </w:rPr>
            </w:pPr>
            <w:r w:rsidRPr="006D7B25">
              <w:rPr>
                <w:sz w:val="20"/>
                <w:szCs w:val="20"/>
              </w:rPr>
              <w:t>67.45 (12.15)</w:t>
            </w:r>
          </w:p>
        </w:tc>
        <w:tc>
          <w:tcPr>
            <w:tcW w:w="2070" w:type="dxa"/>
            <w:tcBorders>
              <w:bottom w:val="single" w:sz="4" w:space="0" w:color="000000"/>
            </w:tcBorders>
          </w:tcPr>
          <w:p w:rsidR="00D64321" w:rsidRPr="006D7B25" w:rsidRDefault="00D64321" w:rsidP="006D7B25">
            <w:pPr>
              <w:jc w:val="both"/>
              <w:rPr>
                <w:sz w:val="20"/>
                <w:szCs w:val="20"/>
              </w:rPr>
            </w:pPr>
            <w:r w:rsidRPr="006D7B25">
              <w:rPr>
                <w:sz w:val="20"/>
                <w:szCs w:val="20"/>
              </w:rPr>
              <w:t>70.33 (12.50)</w:t>
            </w:r>
          </w:p>
        </w:tc>
        <w:tc>
          <w:tcPr>
            <w:tcW w:w="1530" w:type="dxa"/>
            <w:tcBorders>
              <w:bottom w:val="single" w:sz="4" w:space="0" w:color="000000"/>
            </w:tcBorders>
          </w:tcPr>
          <w:p w:rsidR="00D64321" w:rsidRPr="006D7B25" w:rsidRDefault="00D64321" w:rsidP="006D7B25">
            <w:pPr>
              <w:pStyle w:val="10TableText"/>
              <w:jc w:val="both"/>
              <w:rPr>
                <w:sz w:val="20"/>
                <w:szCs w:val="20"/>
              </w:rPr>
            </w:pPr>
            <w:r w:rsidRPr="006D7B25">
              <w:rPr>
                <w:sz w:val="20"/>
                <w:szCs w:val="20"/>
              </w:rPr>
              <w:t>.22</w:t>
            </w:r>
          </w:p>
        </w:tc>
        <w:tc>
          <w:tcPr>
            <w:tcW w:w="1530" w:type="dxa"/>
            <w:tcBorders>
              <w:bottom w:val="single" w:sz="4" w:space="0" w:color="000000"/>
            </w:tcBorders>
          </w:tcPr>
          <w:p w:rsidR="00D64321" w:rsidRPr="006D7B25" w:rsidRDefault="00D64321" w:rsidP="006D7B25">
            <w:pPr>
              <w:pStyle w:val="10TableText"/>
              <w:jc w:val="both"/>
              <w:rPr>
                <w:sz w:val="20"/>
                <w:szCs w:val="20"/>
              </w:rPr>
            </w:pPr>
            <w:r w:rsidRPr="006D7B25">
              <w:rPr>
                <w:sz w:val="20"/>
                <w:szCs w:val="20"/>
              </w:rPr>
              <w:t>small</w:t>
            </w:r>
          </w:p>
        </w:tc>
      </w:tr>
    </w:tbl>
    <w:p w:rsidR="00444984" w:rsidRPr="006D7B25" w:rsidRDefault="00444984" w:rsidP="006D7B25">
      <w:pPr>
        <w:jc w:val="both"/>
        <w:rPr>
          <w:sz w:val="20"/>
          <w:szCs w:val="20"/>
        </w:rPr>
      </w:pPr>
    </w:p>
    <w:p w:rsidR="00A25374" w:rsidRDefault="00A25374" w:rsidP="005E6C3C">
      <w:pPr>
        <w:jc w:val="center"/>
        <w:rPr>
          <w:b/>
          <w:sz w:val="20"/>
          <w:szCs w:val="20"/>
        </w:rPr>
      </w:pPr>
    </w:p>
    <w:p w:rsidR="005E6C3C" w:rsidRPr="00D50AD8" w:rsidRDefault="00D64321" w:rsidP="005E6C3C">
      <w:pPr>
        <w:jc w:val="center"/>
        <w:rPr>
          <w:b/>
          <w:sz w:val="20"/>
          <w:szCs w:val="20"/>
        </w:rPr>
      </w:pPr>
      <w:r w:rsidRPr="00D50AD8">
        <w:rPr>
          <w:b/>
          <w:sz w:val="20"/>
          <w:szCs w:val="20"/>
        </w:rPr>
        <w:t>Table 4</w:t>
      </w:r>
      <w:r w:rsidR="00D50AD8" w:rsidRPr="00D50AD8">
        <w:rPr>
          <w:b/>
          <w:sz w:val="20"/>
          <w:szCs w:val="20"/>
        </w:rPr>
        <w:t xml:space="preserve">. </w:t>
      </w:r>
      <w:r w:rsidRPr="00D50AD8">
        <w:rPr>
          <w:b/>
          <w:sz w:val="20"/>
          <w:szCs w:val="20"/>
        </w:rPr>
        <w:t xml:space="preserve">WJ III </w:t>
      </w:r>
      <w:r w:rsidR="004118AD" w:rsidRPr="00D50AD8">
        <w:rPr>
          <w:b/>
          <w:sz w:val="20"/>
          <w:szCs w:val="20"/>
        </w:rPr>
        <w:t xml:space="preserve">ACH </w:t>
      </w:r>
      <w:r w:rsidR="004E03AD" w:rsidRPr="00D50AD8">
        <w:rPr>
          <w:b/>
          <w:sz w:val="20"/>
          <w:szCs w:val="20"/>
        </w:rPr>
        <w:t>P</w:t>
      </w:r>
      <w:r w:rsidRPr="00D50AD8">
        <w:rPr>
          <w:b/>
          <w:sz w:val="20"/>
          <w:szCs w:val="20"/>
        </w:rPr>
        <w:t>retest-</w:t>
      </w:r>
      <w:r w:rsidR="004E03AD" w:rsidRPr="00D50AD8">
        <w:rPr>
          <w:b/>
          <w:sz w:val="20"/>
          <w:szCs w:val="20"/>
        </w:rPr>
        <w:t>P</w:t>
      </w:r>
      <w:r w:rsidRPr="00D50AD8">
        <w:rPr>
          <w:b/>
          <w:sz w:val="20"/>
          <w:szCs w:val="20"/>
        </w:rPr>
        <w:t xml:space="preserve">osttest </w:t>
      </w:r>
      <w:r w:rsidR="004E03AD" w:rsidRPr="00D50AD8">
        <w:rPr>
          <w:b/>
          <w:sz w:val="20"/>
          <w:szCs w:val="20"/>
        </w:rPr>
        <w:t>D</w:t>
      </w:r>
      <w:r w:rsidRPr="00D50AD8">
        <w:rPr>
          <w:b/>
          <w:sz w:val="20"/>
          <w:szCs w:val="20"/>
        </w:rPr>
        <w:t>ifference (</w:t>
      </w:r>
      <w:r w:rsidR="004E03AD" w:rsidRPr="00D50AD8">
        <w:rPr>
          <w:b/>
          <w:sz w:val="20"/>
          <w:szCs w:val="20"/>
        </w:rPr>
        <w:t>G</w:t>
      </w:r>
      <w:r w:rsidRPr="00D50AD8">
        <w:rPr>
          <w:b/>
          <w:sz w:val="20"/>
          <w:szCs w:val="20"/>
        </w:rPr>
        <w:t xml:space="preserve">ain) </w:t>
      </w:r>
      <w:r w:rsidR="004E03AD" w:rsidRPr="00D50AD8">
        <w:rPr>
          <w:b/>
          <w:sz w:val="20"/>
          <w:szCs w:val="20"/>
        </w:rPr>
        <w:t>S</w:t>
      </w:r>
      <w:r w:rsidRPr="00D50AD8">
        <w:rPr>
          <w:b/>
          <w:sz w:val="20"/>
          <w:szCs w:val="20"/>
        </w:rPr>
        <w:t xml:space="preserve">cores and </w:t>
      </w:r>
      <w:r w:rsidR="004E03AD" w:rsidRPr="00D50AD8">
        <w:rPr>
          <w:b/>
          <w:sz w:val="20"/>
          <w:szCs w:val="20"/>
        </w:rPr>
        <w:t>E</w:t>
      </w:r>
      <w:r w:rsidRPr="00D50AD8">
        <w:rPr>
          <w:b/>
          <w:sz w:val="20"/>
          <w:szCs w:val="20"/>
        </w:rPr>
        <w:t xml:space="preserve">ffect </w:t>
      </w:r>
      <w:r w:rsidR="004E03AD" w:rsidRPr="00D50AD8">
        <w:rPr>
          <w:b/>
          <w:sz w:val="20"/>
          <w:szCs w:val="20"/>
        </w:rPr>
        <w:t>S</w:t>
      </w:r>
      <w:r w:rsidRPr="00D50AD8">
        <w:rPr>
          <w:b/>
          <w:sz w:val="20"/>
          <w:szCs w:val="20"/>
        </w:rPr>
        <w:t xml:space="preserve">izes (d) by </w:t>
      </w:r>
      <w:r w:rsidR="004E03AD" w:rsidRPr="00D50AD8">
        <w:rPr>
          <w:b/>
          <w:sz w:val="20"/>
          <w:szCs w:val="20"/>
        </w:rPr>
        <w:t>P</w:t>
      </w:r>
      <w:r w:rsidRPr="00D50AD8">
        <w:rPr>
          <w:b/>
          <w:sz w:val="20"/>
          <w:szCs w:val="20"/>
        </w:rPr>
        <w:t xml:space="preserve">articipant and </w:t>
      </w:r>
      <w:r w:rsidR="004E03AD" w:rsidRPr="00D50AD8">
        <w:rPr>
          <w:b/>
          <w:sz w:val="20"/>
          <w:szCs w:val="20"/>
        </w:rPr>
        <w:t>S</w:t>
      </w:r>
      <w:r w:rsidRPr="00D50AD8">
        <w:rPr>
          <w:b/>
          <w:sz w:val="20"/>
          <w:szCs w:val="20"/>
        </w:rPr>
        <w:t>ubtest</w:t>
      </w:r>
    </w:p>
    <w:tbl>
      <w:tblPr>
        <w:tblW w:w="0" w:type="auto"/>
        <w:tblLayout w:type="fixed"/>
        <w:tblLook w:val="04A0"/>
      </w:tblPr>
      <w:tblGrid>
        <w:gridCol w:w="1458"/>
        <w:gridCol w:w="2070"/>
        <w:gridCol w:w="1530"/>
        <w:gridCol w:w="1710"/>
        <w:gridCol w:w="1980"/>
      </w:tblGrid>
      <w:tr w:rsidR="00D64321" w:rsidRPr="006D7B25" w:rsidTr="00D82C05">
        <w:tc>
          <w:tcPr>
            <w:tcW w:w="1458" w:type="dxa"/>
            <w:tcBorders>
              <w:bottom w:val="single" w:sz="4" w:space="0" w:color="000000"/>
            </w:tcBorders>
          </w:tcPr>
          <w:p w:rsidR="00D64321" w:rsidRPr="006D7B25" w:rsidRDefault="00D64321" w:rsidP="006D7B25">
            <w:pPr>
              <w:jc w:val="both"/>
              <w:rPr>
                <w:sz w:val="20"/>
                <w:szCs w:val="20"/>
              </w:rPr>
            </w:pPr>
            <w:r w:rsidRPr="006D7B25">
              <w:rPr>
                <w:sz w:val="20"/>
                <w:szCs w:val="20"/>
              </w:rPr>
              <w:t>Participant</w:t>
            </w:r>
          </w:p>
        </w:tc>
        <w:tc>
          <w:tcPr>
            <w:tcW w:w="2070" w:type="dxa"/>
            <w:tcBorders>
              <w:bottom w:val="single" w:sz="4" w:space="0" w:color="000000"/>
            </w:tcBorders>
          </w:tcPr>
          <w:p w:rsidR="00D64321" w:rsidRPr="006D7B25" w:rsidRDefault="00D64321" w:rsidP="006D7B25">
            <w:pPr>
              <w:jc w:val="both"/>
              <w:rPr>
                <w:sz w:val="20"/>
                <w:szCs w:val="20"/>
              </w:rPr>
            </w:pPr>
            <w:r w:rsidRPr="006D7B25">
              <w:rPr>
                <w:sz w:val="20"/>
                <w:szCs w:val="20"/>
              </w:rPr>
              <w:t>Letter-Word Identification</w:t>
            </w:r>
          </w:p>
        </w:tc>
        <w:tc>
          <w:tcPr>
            <w:tcW w:w="1530" w:type="dxa"/>
            <w:tcBorders>
              <w:bottom w:val="single" w:sz="4" w:space="0" w:color="000000"/>
            </w:tcBorders>
          </w:tcPr>
          <w:p w:rsidR="00D64321" w:rsidRPr="006D7B25" w:rsidRDefault="00D64321" w:rsidP="006D7B25">
            <w:pPr>
              <w:jc w:val="both"/>
              <w:rPr>
                <w:sz w:val="20"/>
                <w:szCs w:val="20"/>
              </w:rPr>
            </w:pPr>
            <w:r w:rsidRPr="006D7B25">
              <w:rPr>
                <w:sz w:val="20"/>
                <w:szCs w:val="20"/>
              </w:rPr>
              <w:t>Spelling</w:t>
            </w:r>
          </w:p>
        </w:tc>
        <w:tc>
          <w:tcPr>
            <w:tcW w:w="1710" w:type="dxa"/>
            <w:tcBorders>
              <w:bottom w:val="single" w:sz="4" w:space="0" w:color="000000"/>
            </w:tcBorders>
          </w:tcPr>
          <w:p w:rsidR="00D64321" w:rsidRPr="006D7B25" w:rsidRDefault="00D64321" w:rsidP="006D7B25">
            <w:pPr>
              <w:jc w:val="both"/>
              <w:rPr>
                <w:sz w:val="20"/>
                <w:szCs w:val="20"/>
              </w:rPr>
            </w:pPr>
            <w:r w:rsidRPr="006D7B25">
              <w:rPr>
                <w:sz w:val="20"/>
                <w:szCs w:val="20"/>
              </w:rPr>
              <w:t>Word Attack</w:t>
            </w:r>
          </w:p>
        </w:tc>
        <w:tc>
          <w:tcPr>
            <w:tcW w:w="1980" w:type="dxa"/>
            <w:tcBorders>
              <w:bottom w:val="single" w:sz="4" w:space="0" w:color="000000"/>
            </w:tcBorders>
          </w:tcPr>
          <w:p w:rsidR="00D64321" w:rsidRPr="006D7B25" w:rsidRDefault="00D64321" w:rsidP="006D7B25">
            <w:pPr>
              <w:jc w:val="both"/>
              <w:rPr>
                <w:sz w:val="20"/>
                <w:szCs w:val="20"/>
              </w:rPr>
            </w:pPr>
            <w:r w:rsidRPr="006D7B25">
              <w:rPr>
                <w:sz w:val="20"/>
                <w:szCs w:val="20"/>
              </w:rPr>
              <w:t>Sound Awareness</w:t>
            </w:r>
          </w:p>
        </w:tc>
      </w:tr>
      <w:tr w:rsidR="00D64321" w:rsidRPr="006D7B25" w:rsidTr="00D82C05">
        <w:tc>
          <w:tcPr>
            <w:tcW w:w="1458" w:type="dxa"/>
            <w:tcBorders>
              <w:top w:val="single" w:sz="4" w:space="0" w:color="000000"/>
              <w:bottom w:val="single" w:sz="4" w:space="0" w:color="000000"/>
            </w:tcBorders>
          </w:tcPr>
          <w:p w:rsidR="00D64321" w:rsidRPr="006D7B25" w:rsidRDefault="00D64321" w:rsidP="006D7B25">
            <w:pPr>
              <w:jc w:val="both"/>
              <w:rPr>
                <w:sz w:val="20"/>
                <w:szCs w:val="20"/>
              </w:rPr>
            </w:pPr>
          </w:p>
        </w:tc>
        <w:tc>
          <w:tcPr>
            <w:tcW w:w="2070" w:type="dxa"/>
            <w:tcBorders>
              <w:top w:val="single" w:sz="4" w:space="0" w:color="000000"/>
              <w:bottom w:val="single" w:sz="4" w:space="0" w:color="000000"/>
            </w:tcBorders>
          </w:tcPr>
          <w:p w:rsidR="00D64321" w:rsidRPr="006D7B25" w:rsidRDefault="00D64321" w:rsidP="006D7B25">
            <w:pPr>
              <w:jc w:val="both"/>
              <w:rPr>
                <w:sz w:val="20"/>
                <w:szCs w:val="20"/>
              </w:rPr>
            </w:pPr>
            <w:r w:rsidRPr="006D7B25">
              <w:rPr>
                <w:sz w:val="20"/>
                <w:szCs w:val="20"/>
              </w:rPr>
              <w:t xml:space="preserve">Gain Score </w:t>
            </w:r>
          </w:p>
          <w:p w:rsidR="00D64321" w:rsidRPr="006D7B25" w:rsidRDefault="00D64321" w:rsidP="006D7B25">
            <w:pPr>
              <w:jc w:val="both"/>
              <w:rPr>
                <w:sz w:val="20"/>
                <w:szCs w:val="20"/>
              </w:rPr>
            </w:pPr>
            <w:r w:rsidRPr="006D7B25">
              <w:rPr>
                <w:sz w:val="20"/>
                <w:szCs w:val="20"/>
              </w:rPr>
              <w:t>(effect size)</w:t>
            </w:r>
          </w:p>
        </w:tc>
        <w:tc>
          <w:tcPr>
            <w:tcW w:w="1530" w:type="dxa"/>
            <w:tcBorders>
              <w:top w:val="single" w:sz="4" w:space="0" w:color="000000"/>
              <w:bottom w:val="single" w:sz="4" w:space="0" w:color="000000"/>
            </w:tcBorders>
          </w:tcPr>
          <w:p w:rsidR="00D64321" w:rsidRPr="006D7B25" w:rsidRDefault="00D64321" w:rsidP="006D7B25">
            <w:pPr>
              <w:jc w:val="both"/>
              <w:rPr>
                <w:sz w:val="20"/>
                <w:szCs w:val="20"/>
              </w:rPr>
            </w:pPr>
            <w:r w:rsidRPr="006D7B25">
              <w:rPr>
                <w:sz w:val="20"/>
                <w:szCs w:val="20"/>
              </w:rPr>
              <w:t>Gain Score (effect size)</w:t>
            </w:r>
          </w:p>
        </w:tc>
        <w:tc>
          <w:tcPr>
            <w:tcW w:w="1710" w:type="dxa"/>
            <w:tcBorders>
              <w:top w:val="single" w:sz="4" w:space="0" w:color="000000"/>
              <w:bottom w:val="single" w:sz="4" w:space="0" w:color="000000"/>
            </w:tcBorders>
          </w:tcPr>
          <w:p w:rsidR="00D64321" w:rsidRPr="006D7B25" w:rsidRDefault="00D64321" w:rsidP="006D7B25">
            <w:pPr>
              <w:jc w:val="both"/>
              <w:rPr>
                <w:sz w:val="20"/>
                <w:szCs w:val="20"/>
              </w:rPr>
            </w:pPr>
            <w:r w:rsidRPr="006D7B25">
              <w:rPr>
                <w:sz w:val="20"/>
                <w:szCs w:val="20"/>
              </w:rPr>
              <w:t>Gain Score (effect size)</w:t>
            </w:r>
          </w:p>
        </w:tc>
        <w:tc>
          <w:tcPr>
            <w:tcW w:w="1980" w:type="dxa"/>
            <w:tcBorders>
              <w:top w:val="single" w:sz="4" w:space="0" w:color="000000"/>
              <w:bottom w:val="single" w:sz="4" w:space="0" w:color="000000"/>
            </w:tcBorders>
          </w:tcPr>
          <w:p w:rsidR="00D64321" w:rsidRPr="006D7B25" w:rsidRDefault="00D64321" w:rsidP="006D7B25">
            <w:pPr>
              <w:jc w:val="both"/>
              <w:rPr>
                <w:sz w:val="20"/>
                <w:szCs w:val="20"/>
              </w:rPr>
            </w:pPr>
            <w:r w:rsidRPr="006D7B25">
              <w:rPr>
                <w:sz w:val="20"/>
                <w:szCs w:val="20"/>
              </w:rPr>
              <w:t xml:space="preserve">Gain Score </w:t>
            </w:r>
          </w:p>
          <w:p w:rsidR="00D64321" w:rsidRPr="006D7B25" w:rsidRDefault="00D64321" w:rsidP="006D7B25">
            <w:pPr>
              <w:jc w:val="both"/>
              <w:rPr>
                <w:sz w:val="20"/>
                <w:szCs w:val="20"/>
              </w:rPr>
            </w:pPr>
            <w:r w:rsidRPr="006D7B25">
              <w:rPr>
                <w:sz w:val="20"/>
                <w:szCs w:val="20"/>
              </w:rPr>
              <w:t>(effect size)</w:t>
            </w:r>
          </w:p>
        </w:tc>
      </w:tr>
      <w:tr w:rsidR="00D64321" w:rsidRPr="006D7B25" w:rsidTr="00D82C05">
        <w:tc>
          <w:tcPr>
            <w:tcW w:w="1458" w:type="dxa"/>
            <w:tcBorders>
              <w:top w:val="single" w:sz="4" w:space="0" w:color="000000"/>
            </w:tcBorders>
            <w:vAlign w:val="center"/>
          </w:tcPr>
          <w:p w:rsidR="00D64321" w:rsidRPr="006D7B25" w:rsidRDefault="00D64321" w:rsidP="006D7B25">
            <w:pPr>
              <w:jc w:val="both"/>
              <w:rPr>
                <w:sz w:val="20"/>
                <w:szCs w:val="20"/>
              </w:rPr>
            </w:pPr>
            <w:r w:rsidRPr="006D7B25">
              <w:rPr>
                <w:sz w:val="20"/>
                <w:szCs w:val="20"/>
              </w:rPr>
              <w:t>1</w:t>
            </w:r>
          </w:p>
        </w:tc>
        <w:tc>
          <w:tcPr>
            <w:tcW w:w="2070" w:type="dxa"/>
            <w:tcBorders>
              <w:top w:val="single" w:sz="4" w:space="0" w:color="000000"/>
            </w:tcBorders>
            <w:vAlign w:val="center"/>
          </w:tcPr>
          <w:p w:rsidR="00D64321" w:rsidRPr="006D7B25" w:rsidRDefault="00D64321" w:rsidP="006D7B25">
            <w:pPr>
              <w:jc w:val="both"/>
              <w:rPr>
                <w:sz w:val="20"/>
                <w:szCs w:val="20"/>
              </w:rPr>
            </w:pPr>
            <w:r w:rsidRPr="006D7B25">
              <w:rPr>
                <w:sz w:val="20"/>
                <w:szCs w:val="20"/>
              </w:rPr>
              <w:t>-5 (-.33)</w:t>
            </w:r>
          </w:p>
        </w:tc>
        <w:tc>
          <w:tcPr>
            <w:tcW w:w="1530" w:type="dxa"/>
            <w:tcBorders>
              <w:top w:val="single" w:sz="4" w:space="0" w:color="000000"/>
            </w:tcBorders>
          </w:tcPr>
          <w:p w:rsidR="00D64321" w:rsidRPr="006D7B25" w:rsidRDefault="00D64321" w:rsidP="006D7B25">
            <w:pPr>
              <w:jc w:val="both"/>
              <w:rPr>
                <w:sz w:val="20"/>
                <w:szCs w:val="20"/>
              </w:rPr>
            </w:pPr>
            <w:r w:rsidRPr="006D7B25">
              <w:rPr>
                <w:sz w:val="20"/>
                <w:szCs w:val="20"/>
              </w:rPr>
              <w:t xml:space="preserve"> 2 (.13)</w:t>
            </w:r>
          </w:p>
        </w:tc>
        <w:tc>
          <w:tcPr>
            <w:tcW w:w="1710" w:type="dxa"/>
            <w:tcBorders>
              <w:top w:val="single" w:sz="4" w:space="0" w:color="000000"/>
            </w:tcBorders>
          </w:tcPr>
          <w:p w:rsidR="00D64321" w:rsidRPr="006D7B25" w:rsidRDefault="00D64321" w:rsidP="006D7B25">
            <w:pPr>
              <w:jc w:val="both"/>
              <w:rPr>
                <w:sz w:val="20"/>
                <w:szCs w:val="20"/>
              </w:rPr>
            </w:pPr>
            <w:r w:rsidRPr="006D7B25">
              <w:rPr>
                <w:sz w:val="20"/>
                <w:szCs w:val="20"/>
              </w:rPr>
              <w:t>8 (.53)*</w:t>
            </w:r>
          </w:p>
        </w:tc>
        <w:tc>
          <w:tcPr>
            <w:tcW w:w="1980" w:type="dxa"/>
            <w:tcBorders>
              <w:top w:val="single" w:sz="4" w:space="0" w:color="000000"/>
            </w:tcBorders>
          </w:tcPr>
          <w:p w:rsidR="00D64321" w:rsidRPr="006D7B25" w:rsidRDefault="00D64321" w:rsidP="006D7B25">
            <w:pPr>
              <w:jc w:val="both"/>
              <w:rPr>
                <w:sz w:val="20"/>
                <w:szCs w:val="20"/>
              </w:rPr>
            </w:pPr>
            <w:r w:rsidRPr="006D7B25">
              <w:rPr>
                <w:sz w:val="20"/>
                <w:szCs w:val="20"/>
              </w:rPr>
              <w:t>1 (.07)</w:t>
            </w:r>
          </w:p>
        </w:tc>
      </w:tr>
      <w:tr w:rsidR="00D64321" w:rsidRPr="006D7B25" w:rsidTr="00D82C05">
        <w:tc>
          <w:tcPr>
            <w:tcW w:w="1458" w:type="dxa"/>
            <w:vAlign w:val="center"/>
          </w:tcPr>
          <w:p w:rsidR="00D64321" w:rsidRPr="006D7B25" w:rsidRDefault="00D64321" w:rsidP="006D7B25">
            <w:pPr>
              <w:jc w:val="both"/>
              <w:rPr>
                <w:sz w:val="20"/>
                <w:szCs w:val="20"/>
              </w:rPr>
            </w:pPr>
            <w:r w:rsidRPr="006D7B25">
              <w:rPr>
                <w:sz w:val="20"/>
                <w:szCs w:val="20"/>
              </w:rPr>
              <w:t>2</w:t>
            </w:r>
          </w:p>
        </w:tc>
        <w:tc>
          <w:tcPr>
            <w:tcW w:w="2070" w:type="dxa"/>
            <w:vAlign w:val="center"/>
          </w:tcPr>
          <w:p w:rsidR="00D64321" w:rsidRPr="006D7B25" w:rsidRDefault="00D64321" w:rsidP="006D7B25">
            <w:pPr>
              <w:jc w:val="both"/>
              <w:rPr>
                <w:sz w:val="20"/>
                <w:szCs w:val="20"/>
              </w:rPr>
            </w:pPr>
            <w:r w:rsidRPr="006D7B25">
              <w:rPr>
                <w:sz w:val="20"/>
                <w:szCs w:val="20"/>
              </w:rPr>
              <w:t>-1 (-.07)</w:t>
            </w:r>
          </w:p>
        </w:tc>
        <w:tc>
          <w:tcPr>
            <w:tcW w:w="1530" w:type="dxa"/>
          </w:tcPr>
          <w:p w:rsidR="00D64321" w:rsidRPr="006D7B25" w:rsidRDefault="00D64321" w:rsidP="006D7B25">
            <w:pPr>
              <w:jc w:val="both"/>
              <w:rPr>
                <w:sz w:val="20"/>
                <w:szCs w:val="20"/>
              </w:rPr>
            </w:pPr>
            <w:r w:rsidRPr="006D7B25">
              <w:rPr>
                <w:sz w:val="20"/>
                <w:szCs w:val="20"/>
              </w:rPr>
              <w:t xml:space="preserve">   6 (.40)*</w:t>
            </w:r>
          </w:p>
        </w:tc>
        <w:tc>
          <w:tcPr>
            <w:tcW w:w="1710" w:type="dxa"/>
          </w:tcPr>
          <w:p w:rsidR="00D64321" w:rsidRPr="006D7B25" w:rsidRDefault="00D64321" w:rsidP="006D7B25">
            <w:pPr>
              <w:jc w:val="both"/>
              <w:rPr>
                <w:sz w:val="20"/>
                <w:szCs w:val="20"/>
              </w:rPr>
            </w:pPr>
            <w:r w:rsidRPr="006D7B25">
              <w:rPr>
                <w:sz w:val="20"/>
                <w:szCs w:val="20"/>
              </w:rPr>
              <w:t>11 (.73)*</w:t>
            </w:r>
          </w:p>
        </w:tc>
        <w:tc>
          <w:tcPr>
            <w:tcW w:w="1980" w:type="dxa"/>
          </w:tcPr>
          <w:p w:rsidR="00D64321" w:rsidRPr="006D7B25" w:rsidRDefault="00D64321" w:rsidP="006D7B25">
            <w:pPr>
              <w:jc w:val="both"/>
              <w:rPr>
                <w:sz w:val="20"/>
                <w:szCs w:val="20"/>
              </w:rPr>
            </w:pPr>
            <w:r w:rsidRPr="006D7B25">
              <w:rPr>
                <w:sz w:val="20"/>
                <w:szCs w:val="20"/>
              </w:rPr>
              <w:t>19 (1.27)*</w:t>
            </w:r>
          </w:p>
        </w:tc>
      </w:tr>
      <w:tr w:rsidR="00D64321" w:rsidRPr="006D7B25" w:rsidTr="00D82C05">
        <w:tc>
          <w:tcPr>
            <w:tcW w:w="1458" w:type="dxa"/>
            <w:vAlign w:val="center"/>
          </w:tcPr>
          <w:p w:rsidR="00D64321" w:rsidRPr="006D7B25" w:rsidRDefault="00D64321" w:rsidP="006D7B25">
            <w:pPr>
              <w:jc w:val="both"/>
              <w:rPr>
                <w:sz w:val="20"/>
                <w:szCs w:val="20"/>
              </w:rPr>
            </w:pPr>
            <w:r w:rsidRPr="006D7B25">
              <w:rPr>
                <w:sz w:val="20"/>
                <w:szCs w:val="20"/>
              </w:rPr>
              <w:t>3</w:t>
            </w:r>
          </w:p>
        </w:tc>
        <w:tc>
          <w:tcPr>
            <w:tcW w:w="2070" w:type="dxa"/>
            <w:vAlign w:val="center"/>
          </w:tcPr>
          <w:p w:rsidR="00D64321" w:rsidRPr="006D7B25" w:rsidRDefault="00D64321" w:rsidP="006D7B25">
            <w:pPr>
              <w:jc w:val="both"/>
              <w:rPr>
                <w:sz w:val="20"/>
                <w:szCs w:val="20"/>
              </w:rPr>
            </w:pPr>
            <w:r w:rsidRPr="006D7B25">
              <w:rPr>
                <w:sz w:val="20"/>
                <w:szCs w:val="20"/>
              </w:rPr>
              <w:t>-4 (-.27)</w:t>
            </w:r>
          </w:p>
        </w:tc>
        <w:tc>
          <w:tcPr>
            <w:tcW w:w="1530" w:type="dxa"/>
          </w:tcPr>
          <w:p w:rsidR="00D64321" w:rsidRPr="006D7B25" w:rsidRDefault="00D64321" w:rsidP="006D7B25">
            <w:pPr>
              <w:jc w:val="both"/>
              <w:rPr>
                <w:sz w:val="20"/>
                <w:szCs w:val="20"/>
              </w:rPr>
            </w:pPr>
            <w:r w:rsidRPr="006D7B25">
              <w:rPr>
                <w:sz w:val="20"/>
                <w:szCs w:val="20"/>
              </w:rPr>
              <w:t>-2 (.13)</w:t>
            </w:r>
          </w:p>
        </w:tc>
        <w:tc>
          <w:tcPr>
            <w:tcW w:w="1710" w:type="dxa"/>
          </w:tcPr>
          <w:p w:rsidR="00D64321" w:rsidRPr="006D7B25" w:rsidRDefault="00D64321" w:rsidP="006D7B25">
            <w:pPr>
              <w:jc w:val="both"/>
              <w:rPr>
                <w:sz w:val="20"/>
                <w:szCs w:val="20"/>
              </w:rPr>
            </w:pPr>
            <w:r w:rsidRPr="006D7B25">
              <w:rPr>
                <w:sz w:val="20"/>
                <w:szCs w:val="20"/>
              </w:rPr>
              <w:t>5 (.33)</w:t>
            </w:r>
          </w:p>
        </w:tc>
        <w:tc>
          <w:tcPr>
            <w:tcW w:w="1980" w:type="dxa"/>
          </w:tcPr>
          <w:p w:rsidR="00D64321" w:rsidRPr="006D7B25" w:rsidRDefault="00D64321" w:rsidP="006D7B25">
            <w:pPr>
              <w:jc w:val="both"/>
              <w:rPr>
                <w:sz w:val="20"/>
                <w:szCs w:val="20"/>
              </w:rPr>
            </w:pPr>
            <w:r w:rsidRPr="006D7B25">
              <w:rPr>
                <w:sz w:val="20"/>
                <w:szCs w:val="20"/>
              </w:rPr>
              <w:t>-4 (-.27)</w:t>
            </w:r>
          </w:p>
        </w:tc>
      </w:tr>
      <w:tr w:rsidR="00D64321" w:rsidRPr="006D7B25" w:rsidTr="00D82C05">
        <w:tc>
          <w:tcPr>
            <w:tcW w:w="1458" w:type="dxa"/>
            <w:vAlign w:val="center"/>
          </w:tcPr>
          <w:p w:rsidR="00D64321" w:rsidRPr="006D7B25" w:rsidRDefault="00D64321" w:rsidP="006D7B25">
            <w:pPr>
              <w:jc w:val="both"/>
              <w:rPr>
                <w:sz w:val="20"/>
                <w:szCs w:val="20"/>
              </w:rPr>
            </w:pPr>
            <w:r w:rsidRPr="006D7B25">
              <w:rPr>
                <w:sz w:val="20"/>
                <w:szCs w:val="20"/>
              </w:rPr>
              <w:t>4</w:t>
            </w:r>
          </w:p>
        </w:tc>
        <w:tc>
          <w:tcPr>
            <w:tcW w:w="2070" w:type="dxa"/>
            <w:vAlign w:val="center"/>
          </w:tcPr>
          <w:p w:rsidR="00D64321" w:rsidRPr="006D7B25" w:rsidRDefault="00D64321" w:rsidP="006D7B25">
            <w:pPr>
              <w:jc w:val="both"/>
              <w:rPr>
                <w:sz w:val="20"/>
                <w:szCs w:val="20"/>
              </w:rPr>
            </w:pPr>
            <w:r w:rsidRPr="006D7B25">
              <w:rPr>
                <w:sz w:val="20"/>
                <w:szCs w:val="20"/>
              </w:rPr>
              <w:t>10 (.67)*</w:t>
            </w:r>
          </w:p>
        </w:tc>
        <w:tc>
          <w:tcPr>
            <w:tcW w:w="1530" w:type="dxa"/>
          </w:tcPr>
          <w:p w:rsidR="00D64321" w:rsidRPr="006D7B25" w:rsidRDefault="00D64321" w:rsidP="006D7B25">
            <w:pPr>
              <w:jc w:val="both"/>
              <w:rPr>
                <w:sz w:val="20"/>
                <w:szCs w:val="20"/>
              </w:rPr>
            </w:pPr>
            <w:r w:rsidRPr="006D7B25">
              <w:rPr>
                <w:sz w:val="20"/>
                <w:szCs w:val="20"/>
              </w:rPr>
              <w:t xml:space="preserve"> -1 (-.07)</w:t>
            </w:r>
          </w:p>
        </w:tc>
        <w:tc>
          <w:tcPr>
            <w:tcW w:w="1710" w:type="dxa"/>
          </w:tcPr>
          <w:p w:rsidR="00D64321" w:rsidRPr="006D7B25" w:rsidRDefault="00D64321" w:rsidP="006D7B25">
            <w:pPr>
              <w:jc w:val="both"/>
              <w:rPr>
                <w:sz w:val="20"/>
                <w:szCs w:val="20"/>
              </w:rPr>
            </w:pPr>
            <w:r w:rsidRPr="006D7B25">
              <w:rPr>
                <w:sz w:val="20"/>
                <w:szCs w:val="20"/>
              </w:rPr>
              <w:t>8 (.53)*</w:t>
            </w:r>
          </w:p>
        </w:tc>
        <w:tc>
          <w:tcPr>
            <w:tcW w:w="1980" w:type="dxa"/>
          </w:tcPr>
          <w:p w:rsidR="00D64321" w:rsidRPr="006D7B25" w:rsidRDefault="00D64321" w:rsidP="006D7B25">
            <w:pPr>
              <w:jc w:val="both"/>
              <w:rPr>
                <w:sz w:val="20"/>
                <w:szCs w:val="20"/>
              </w:rPr>
            </w:pPr>
            <w:r w:rsidRPr="006D7B25">
              <w:rPr>
                <w:sz w:val="20"/>
                <w:szCs w:val="20"/>
              </w:rPr>
              <w:t>0 (0)</w:t>
            </w:r>
          </w:p>
        </w:tc>
      </w:tr>
      <w:tr w:rsidR="00D64321" w:rsidRPr="006D7B25" w:rsidTr="00D82C05">
        <w:tc>
          <w:tcPr>
            <w:tcW w:w="1458" w:type="dxa"/>
            <w:vAlign w:val="center"/>
          </w:tcPr>
          <w:p w:rsidR="00D64321" w:rsidRPr="006D7B25" w:rsidRDefault="00D64321" w:rsidP="006D7B25">
            <w:pPr>
              <w:jc w:val="both"/>
              <w:rPr>
                <w:sz w:val="20"/>
                <w:szCs w:val="20"/>
              </w:rPr>
            </w:pPr>
            <w:r w:rsidRPr="006D7B25">
              <w:rPr>
                <w:sz w:val="20"/>
                <w:szCs w:val="20"/>
              </w:rPr>
              <w:t>5</w:t>
            </w:r>
          </w:p>
        </w:tc>
        <w:tc>
          <w:tcPr>
            <w:tcW w:w="2070" w:type="dxa"/>
            <w:vAlign w:val="center"/>
          </w:tcPr>
          <w:p w:rsidR="00D64321" w:rsidRPr="006D7B25" w:rsidRDefault="00D64321" w:rsidP="006D7B25">
            <w:pPr>
              <w:jc w:val="both"/>
              <w:rPr>
                <w:sz w:val="20"/>
                <w:szCs w:val="20"/>
              </w:rPr>
            </w:pPr>
            <w:r w:rsidRPr="006D7B25">
              <w:rPr>
                <w:sz w:val="20"/>
                <w:szCs w:val="20"/>
              </w:rPr>
              <w:t>-3 (-.20)</w:t>
            </w:r>
          </w:p>
        </w:tc>
        <w:tc>
          <w:tcPr>
            <w:tcW w:w="1530" w:type="dxa"/>
          </w:tcPr>
          <w:p w:rsidR="00D64321" w:rsidRPr="006D7B25" w:rsidRDefault="00D64321" w:rsidP="006D7B25">
            <w:pPr>
              <w:jc w:val="both"/>
              <w:rPr>
                <w:sz w:val="20"/>
                <w:szCs w:val="20"/>
              </w:rPr>
            </w:pPr>
            <w:r w:rsidRPr="006D7B25">
              <w:rPr>
                <w:sz w:val="20"/>
                <w:szCs w:val="20"/>
              </w:rPr>
              <w:t xml:space="preserve">  9 (.60)*</w:t>
            </w:r>
          </w:p>
        </w:tc>
        <w:tc>
          <w:tcPr>
            <w:tcW w:w="1710" w:type="dxa"/>
          </w:tcPr>
          <w:p w:rsidR="00D64321" w:rsidRPr="006D7B25" w:rsidRDefault="00D64321" w:rsidP="006D7B25">
            <w:pPr>
              <w:jc w:val="both"/>
              <w:rPr>
                <w:sz w:val="20"/>
                <w:szCs w:val="20"/>
              </w:rPr>
            </w:pPr>
            <w:r w:rsidRPr="006D7B25">
              <w:rPr>
                <w:sz w:val="20"/>
                <w:szCs w:val="20"/>
              </w:rPr>
              <w:t>5 (.33)</w:t>
            </w:r>
          </w:p>
        </w:tc>
        <w:tc>
          <w:tcPr>
            <w:tcW w:w="1980" w:type="dxa"/>
          </w:tcPr>
          <w:p w:rsidR="00D64321" w:rsidRPr="006D7B25" w:rsidRDefault="00D64321" w:rsidP="006D7B25">
            <w:pPr>
              <w:jc w:val="both"/>
              <w:rPr>
                <w:sz w:val="20"/>
                <w:szCs w:val="20"/>
              </w:rPr>
            </w:pPr>
            <w:r w:rsidRPr="006D7B25">
              <w:rPr>
                <w:sz w:val="20"/>
                <w:szCs w:val="20"/>
              </w:rPr>
              <w:t>-2 (.13)</w:t>
            </w:r>
          </w:p>
        </w:tc>
      </w:tr>
      <w:tr w:rsidR="00D64321" w:rsidRPr="006D7B25" w:rsidTr="00D82C05">
        <w:tc>
          <w:tcPr>
            <w:tcW w:w="1458" w:type="dxa"/>
            <w:vAlign w:val="center"/>
          </w:tcPr>
          <w:p w:rsidR="00D64321" w:rsidRPr="006D7B25" w:rsidRDefault="00D64321" w:rsidP="006D7B25">
            <w:pPr>
              <w:jc w:val="both"/>
              <w:rPr>
                <w:sz w:val="20"/>
                <w:szCs w:val="20"/>
              </w:rPr>
            </w:pPr>
            <w:r w:rsidRPr="006D7B25">
              <w:rPr>
                <w:sz w:val="20"/>
                <w:szCs w:val="20"/>
              </w:rPr>
              <w:t>6</w:t>
            </w:r>
          </w:p>
        </w:tc>
        <w:tc>
          <w:tcPr>
            <w:tcW w:w="2070" w:type="dxa"/>
            <w:vAlign w:val="center"/>
          </w:tcPr>
          <w:p w:rsidR="00D64321" w:rsidRPr="006D7B25" w:rsidRDefault="00D64321" w:rsidP="006D7B25">
            <w:pPr>
              <w:jc w:val="both"/>
              <w:rPr>
                <w:sz w:val="20"/>
                <w:szCs w:val="20"/>
              </w:rPr>
            </w:pPr>
            <w:r w:rsidRPr="006D7B25">
              <w:rPr>
                <w:sz w:val="20"/>
                <w:szCs w:val="20"/>
              </w:rPr>
              <w:t>-1 (-.07)</w:t>
            </w:r>
          </w:p>
        </w:tc>
        <w:tc>
          <w:tcPr>
            <w:tcW w:w="1530" w:type="dxa"/>
          </w:tcPr>
          <w:p w:rsidR="00D64321" w:rsidRPr="006D7B25" w:rsidRDefault="00D64321" w:rsidP="006D7B25">
            <w:pPr>
              <w:jc w:val="both"/>
              <w:rPr>
                <w:sz w:val="20"/>
                <w:szCs w:val="20"/>
              </w:rPr>
            </w:pPr>
            <w:r w:rsidRPr="006D7B25">
              <w:rPr>
                <w:sz w:val="20"/>
                <w:szCs w:val="20"/>
              </w:rPr>
              <w:t xml:space="preserve"> 10 (.67)*</w:t>
            </w:r>
          </w:p>
        </w:tc>
        <w:tc>
          <w:tcPr>
            <w:tcW w:w="1710" w:type="dxa"/>
          </w:tcPr>
          <w:p w:rsidR="00D64321" w:rsidRPr="006D7B25" w:rsidRDefault="00D64321" w:rsidP="006D7B25">
            <w:pPr>
              <w:jc w:val="both"/>
              <w:rPr>
                <w:sz w:val="20"/>
                <w:szCs w:val="20"/>
              </w:rPr>
            </w:pPr>
            <w:r w:rsidRPr="006D7B25">
              <w:rPr>
                <w:sz w:val="20"/>
                <w:szCs w:val="20"/>
              </w:rPr>
              <w:t>7 (.47)*</w:t>
            </w:r>
          </w:p>
        </w:tc>
        <w:tc>
          <w:tcPr>
            <w:tcW w:w="1980" w:type="dxa"/>
          </w:tcPr>
          <w:p w:rsidR="00D64321" w:rsidRPr="006D7B25" w:rsidRDefault="00D64321" w:rsidP="006D7B25">
            <w:pPr>
              <w:jc w:val="both"/>
              <w:rPr>
                <w:sz w:val="20"/>
                <w:szCs w:val="20"/>
              </w:rPr>
            </w:pPr>
            <w:r w:rsidRPr="006D7B25">
              <w:rPr>
                <w:sz w:val="20"/>
                <w:szCs w:val="20"/>
              </w:rPr>
              <w:t>1 (.07)</w:t>
            </w:r>
          </w:p>
        </w:tc>
      </w:tr>
      <w:tr w:rsidR="00D64321" w:rsidRPr="006D7B25" w:rsidTr="00D82C05">
        <w:tc>
          <w:tcPr>
            <w:tcW w:w="1458" w:type="dxa"/>
            <w:vAlign w:val="center"/>
          </w:tcPr>
          <w:p w:rsidR="00D64321" w:rsidRPr="006D7B25" w:rsidRDefault="00D64321" w:rsidP="006D7B25">
            <w:pPr>
              <w:jc w:val="both"/>
              <w:rPr>
                <w:sz w:val="20"/>
                <w:szCs w:val="20"/>
              </w:rPr>
            </w:pPr>
            <w:r w:rsidRPr="006D7B25">
              <w:rPr>
                <w:sz w:val="20"/>
                <w:szCs w:val="20"/>
              </w:rPr>
              <w:t>7</w:t>
            </w:r>
          </w:p>
        </w:tc>
        <w:tc>
          <w:tcPr>
            <w:tcW w:w="2070" w:type="dxa"/>
            <w:vAlign w:val="center"/>
          </w:tcPr>
          <w:p w:rsidR="00D64321" w:rsidRPr="006D7B25" w:rsidRDefault="00D64321" w:rsidP="006D7B25">
            <w:pPr>
              <w:jc w:val="both"/>
              <w:rPr>
                <w:sz w:val="20"/>
                <w:szCs w:val="20"/>
              </w:rPr>
            </w:pPr>
            <w:r w:rsidRPr="006D7B25">
              <w:rPr>
                <w:sz w:val="20"/>
                <w:szCs w:val="20"/>
              </w:rPr>
              <w:t xml:space="preserve">  8 (.53)*</w:t>
            </w:r>
          </w:p>
        </w:tc>
        <w:tc>
          <w:tcPr>
            <w:tcW w:w="1530" w:type="dxa"/>
          </w:tcPr>
          <w:p w:rsidR="00D64321" w:rsidRPr="006D7B25" w:rsidRDefault="00D64321" w:rsidP="006D7B25">
            <w:pPr>
              <w:jc w:val="both"/>
              <w:rPr>
                <w:sz w:val="20"/>
                <w:szCs w:val="20"/>
              </w:rPr>
            </w:pPr>
            <w:r w:rsidRPr="006D7B25">
              <w:rPr>
                <w:sz w:val="20"/>
                <w:szCs w:val="20"/>
              </w:rPr>
              <w:t xml:space="preserve"> 5 (.33)</w:t>
            </w:r>
          </w:p>
        </w:tc>
        <w:tc>
          <w:tcPr>
            <w:tcW w:w="1710" w:type="dxa"/>
          </w:tcPr>
          <w:p w:rsidR="00D64321" w:rsidRPr="006D7B25" w:rsidRDefault="00D64321" w:rsidP="006D7B25">
            <w:pPr>
              <w:jc w:val="both"/>
              <w:rPr>
                <w:sz w:val="20"/>
                <w:szCs w:val="20"/>
              </w:rPr>
            </w:pPr>
            <w:r w:rsidRPr="006D7B25">
              <w:rPr>
                <w:sz w:val="20"/>
                <w:szCs w:val="20"/>
              </w:rPr>
              <w:t>5 (.33)</w:t>
            </w:r>
          </w:p>
        </w:tc>
        <w:tc>
          <w:tcPr>
            <w:tcW w:w="1980" w:type="dxa"/>
          </w:tcPr>
          <w:p w:rsidR="00D64321" w:rsidRPr="006D7B25" w:rsidRDefault="00D64321" w:rsidP="006D7B25">
            <w:pPr>
              <w:jc w:val="both"/>
              <w:rPr>
                <w:sz w:val="20"/>
                <w:szCs w:val="20"/>
              </w:rPr>
            </w:pPr>
            <w:r w:rsidRPr="006D7B25">
              <w:rPr>
                <w:sz w:val="20"/>
                <w:szCs w:val="20"/>
              </w:rPr>
              <w:t>3 (.20)</w:t>
            </w:r>
          </w:p>
        </w:tc>
      </w:tr>
      <w:tr w:rsidR="00D64321" w:rsidRPr="006D7B25" w:rsidTr="00D82C05">
        <w:tc>
          <w:tcPr>
            <w:tcW w:w="1458" w:type="dxa"/>
            <w:vAlign w:val="center"/>
          </w:tcPr>
          <w:p w:rsidR="00D64321" w:rsidRPr="006D7B25" w:rsidRDefault="00D64321" w:rsidP="006D7B25">
            <w:pPr>
              <w:jc w:val="both"/>
              <w:rPr>
                <w:sz w:val="20"/>
                <w:szCs w:val="20"/>
              </w:rPr>
            </w:pPr>
            <w:r w:rsidRPr="006D7B25">
              <w:rPr>
                <w:sz w:val="20"/>
                <w:szCs w:val="20"/>
              </w:rPr>
              <w:t>8</w:t>
            </w:r>
          </w:p>
        </w:tc>
        <w:tc>
          <w:tcPr>
            <w:tcW w:w="2070" w:type="dxa"/>
            <w:vAlign w:val="center"/>
          </w:tcPr>
          <w:p w:rsidR="00D64321" w:rsidRPr="006D7B25" w:rsidRDefault="00D64321" w:rsidP="006D7B25">
            <w:pPr>
              <w:jc w:val="both"/>
              <w:rPr>
                <w:sz w:val="20"/>
                <w:szCs w:val="20"/>
              </w:rPr>
            </w:pPr>
            <w:r w:rsidRPr="006D7B25">
              <w:rPr>
                <w:sz w:val="20"/>
                <w:szCs w:val="20"/>
              </w:rPr>
              <w:t>3 (.20)</w:t>
            </w:r>
          </w:p>
        </w:tc>
        <w:tc>
          <w:tcPr>
            <w:tcW w:w="1530" w:type="dxa"/>
          </w:tcPr>
          <w:p w:rsidR="00D64321" w:rsidRPr="006D7B25" w:rsidRDefault="00D64321" w:rsidP="006D7B25">
            <w:pPr>
              <w:jc w:val="both"/>
              <w:rPr>
                <w:sz w:val="20"/>
                <w:szCs w:val="20"/>
              </w:rPr>
            </w:pPr>
            <w:r w:rsidRPr="006D7B25">
              <w:rPr>
                <w:sz w:val="20"/>
                <w:szCs w:val="20"/>
              </w:rPr>
              <w:t xml:space="preserve"> 5 (.33)</w:t>
            </w:r>
          </w:p>
        </w:tc>
        <w:tc>
          <w:tcPr>
            <w:tcW w:w="1710" w:type="dxa"/>
          </w:tcPr>
          <w:p w:rsidR="00D64321" w:rsidRPr="006D7B25" w:rsidRDefault="00D64321" w:rsidP="006D7B25">
            <w:pPr>
              <w:jc w:val="both"/>
              <w:rPr>
                <w:sz w:val="20"/>
                <w:szCs w:val="20"/>
              </w:rPr>
            </w:pPr>
            <w:r w:rsidRPr="006D7B25">
              <w:rPr>
                <w:sz w:val="20"/>
                <w:szCs w:val="20"/>
              </w:rPr>
              <w:t>5 (.33)</w:t>
            </w:r>
          </w:p>
        </w:tc>
        <w:tc>
          <w:tcPr>
            <w:tcW w:w="1980" w:type="dxa"/>
          </w:tcPr>
          <w:p w:rsidR="00D64321" w:rsidRPr="006D7B25" w:rsidRDefault="00D64321" w:rsidP="006D7B25">
            <w:pPr>
              <w:jc w:val="both"/>
              <w:rPr>
                <w:sz w:val="20"/>
                <w:szCs w:val="20"/>
              </w:rPr>
            </w:pPr>
            <w:r w:rsidRPr="006D7B25">
              <w:rPr>
                <w:sz w:val="20"/>
                <w:szCs w:val="20"/>
              </w:rPr>
              <w:t>5 (.33)</w:t>
            </w:r>
          </w:p>
        </w:tc>
      </w:tr>
      <w:tr w:rsidR="00D64321" w:rsidRPr="006D7B25" w:rsidTr="00D82C05">
        <w:tc>
          <w:tcPr>
            <w:tcW w:w="1458" w:type="dxa"/>
            <w:tcBorders>
              <w:bottom w:val="single" w:sz="4" w:space="0" w:color="000000"/>
            </w:tcBorders>
            <w:vAlign w:val="center"/>
          </w:tcPr>
          <w:p w:rsidR="00D64321" w:rsidRPr="006D7B25" w:rsidRDefault="00D64321" w:rsidP="006D7B25">
            <w:pPr>
              <w:jc w:val="both"/>
              <w:rPr>
                <w:sz w:val="20"/>
                <w:szCs w:val="20"/>
              </w:rPr>
            </w:pPr>
            <w:r w:rsidRPr="006D7B25">
              <w:rPr>
                <w:sz w:val="20"/>
                <w:szCs w:val="20"/>
              </w:rPr>
              <w:t>9</w:t>
            </w:r>
          </w:p>
        </w:tc>
        <w:tc>
          <w:tcPr>
            <w:tcW w:w="2070" w:type="dxa"/>
            <w:tcBorders>
              <w:bottom w:val="single" w:sz="4" w:space="0" w:color="000000"/>
            </w:tcBorders>
            <w:vAlign w:val="center"/>
          </w:tcPr>
          <w:p w:rsidR="00D64321" w:rsidRPr="006D7B25" w:rsidRDefault="00D64321" w:rsidP="006D7B25">
            <w:pPr>
              <w:jc w:val="both"/>
              <w:rPr>
                <w:sz w:val="20"/>
                <w:szCs w:val="20"/>
              </w:rPr>
            </w:pPr>
            <w:r w:rsidRPr="006D7B25">
              <w:rPr>
                <w:sz w:val="20"/>
                <w:szCs w:val="20"/>
              </w:rPr>
              <w:t>18 (1.2)*</w:t>
            </w:r>
          </w:p>
        </w:tc>
        <w:tc>
          <w:tcPr>
            <w:tcW w:w="1530" w:type="dxa"/>
            <w:tcBorders>
              <w:bottom w:val="single" w:sz="4" w:space="0" w:color="000000"/>
            </w:tcBorders>
          </w:tcPr>
          <w:p w:rsidR="00D64321" w:rsidRPr="006D7B25" w:rsidRDefault="00D64321" w:rsidP="006D7B25">
            <w:pPr>
              <w:jc w:val="both"/>
              <w:rPr>
                <w:sz w:val="20"/>
                <w:szCs w:val="20"/>
              </w:rPr>
            </w:pPr>
            <w:r w:rsidRPr="006D7B25">
              <w:rPr>
                <w:sz w:val="20"/>
                <w:szCs w:val="20"/>
              </w:rPr>
              <w:t xml:space="preserve">  38 (2.53)*</w:t>
            </w:r>
          </w:p>
        </w:tc>
        <w:tc>
          <w:tcPr>
            <w:tcW w:w="1710" w:type="dxa"/>
            <w:tcBorders>
              <w:bottom w:val="single" w:sz="4" w:space="0" w:color="000000"/>
            </w:tcBorders>
          </w:tcPr>
          <w:p w:rsidR="00D64321" w:rsidRPr="006D7B25" w:rsidRDefault="00D64321" w:rsidP="006D7B25">
            <w:pPr>
              <w:jc w:val="both"/>
              <w:rPr>
                <w:sz w:val="20"/>
                <w:szCs w:val="20"/>
              </w:rPr>
            </w:pPr>
            <w:r w:rsidRPr="006D7B25">
              <w:rPr>
                <w:sz w:val="20"/>
                <w:szCs w:val="20"/>
              </w:rPr>
              <w:t>17 (1.13)*</w:t>
            </w:r>
          </w:p>
        </w:tc>
        <w:tc>
          <w:tcPr>
            <w:tcW w:w="1980" w:type="dxa"/>
            <w:tcBorders>
              <w:bottom w:val="single" w:sz="4" w:space="0" w:color="000000"/>
            </w:tcBorders>
          </w:tcPr>
          <w:p w:rsidR="00D64321" w:rsidRPr="006D7B25" w:rsidRDefault="00D64321" w:rsidP="006D7B25">
            <w:pPr>
              <w:jc w:val="both"/>
              <w:rPr>
                <w:sz w:val="20"/>
                <w:szCs w:val="20"/>
              </w:rPr>
            </w:pPr>
            <w:r w:rsidRPr="006D7B25">
              <w:rPr>
                <w:sz w:val="20"/>
                <w:szCs w:val="20"/>
              </w:rPr>
              <w:t>50 (3.33)*</w:t>
            </w:r>
          </w:p>
        </w:tc>
      </w:tr>
    </w:tbl>
    <w:p w:rsidR="00D64321" w:rsidRPr="00D50AD8" w:rsidRDefault="00D64321" w:rsidP="006D7B25">
      <w:pPr>
        <w:jc w:val="both"/>
        <w:rPr>
          <w:sz w:val="16"/>
          <w:szCs w:val="16"/>
        </w:rPr>
      </w:pPr>
      <w:r w:rsidRPr="00D50AD8">
        <w:rPr>
          <w:i/>
          <w:sz w:val="16"/>
          <w:szCs w:val="16"/>
        </w:rPr>
        <w:t>Note.</w:t>
      </w:r>
      <w:r w:rsidRPr="00D50AD8">
        <w:rPr>
          <w:sz w:val="16"/>
          <w:szCs w:val="16"/>
        </w:rPr>
        <w:t xml:space="preserve"> Medium and large effect sizes are indicated by an *</w:t>
      </w:r>
    </w:p>
    <w:p w:rsidR="00D50AD8" w:rsidRDefault="00D50AD8" w:rsidP="00D50AD8">
      <w:pPr>
        <w:pStyle w:val="08BodyText"/>
        <w:spacing w:line="240" w:lineRule="auto"/>
        <w:ind w:firstLine="0"/>
        <w:jc w:val="both"/>
        <w:rPr>
          <w:sz w:val="20"/>
        </w:rPr>
      </w:pPr>
    </w:p>
    <w:p w:rsidR="00A25374" w:rsidRDefault="00A25374" w:rsidP="00D50AD8">
      <w:pPr>
        <w:pStyle w:val="08BodyText"/>
        <w:spacing w:line="240" w:lineRule="auto"/>
        <w:ind w:firstLine="0"/>
        <w:jc w:val="both"/>
        <w:rPr>
          <w:sz w:val="20"/>
        </w:rPr>
      </w:pPr>
    </w:p>
    <w:p w:rsidR="00444984" w:rsidRDefault="00AF67B9" w:rsidP="00D50AD8">
      <w:pPr>
        <w:pStyle w:val="08BodyText"/>
        <w:spacing w:line="240" w:lineRule="auto"/>
        <w:ind w:firstLine="0"/>
        <w:jc w:val="both"/>
        <w:rPr>
          <w:sz w:val="20"/>
        </w:rPr>
      </w:pPr>
      <w:r w:rsidRPr="006D7B25">
        <w:rPr>
          <w:sz w:val="20"/>
        </w:rPr>
        <w:t xml:space="preserve">The group effect sizes for the two TOWRE subtests administered showed a small improvement across </w:t>
      </w:r>
      <w:r w:rsidR="00034F47" w:rsidRPr="006D7B25">
        <w:rPr>
          <w:sz w:val="20"/>
        </w:rPr>
        <w:t xml:space="preserve">students </w:t>
      </w:r>
      <w:r w:rsidRPr="006D7B25">
        <w:rPr>
          <w:sz w:val="20"/>
        </w:rPr>
        <w:t xml:space="preserve">after completion of the intervention (.34 for the </w:t>
      </w:r>
      <w:r w:rsidRPr="006D7B25">
        <w:rPr>
          <w:i/>
          <w:sz w:val="20"/>
        </w:rPr>
        <w:t>Sight Word Efficiency</w:t>
      </w:r>
      <w:r w:rsidRPr="006D7B25">
        <w:rPr>
          <w:sz w:val="20"/>
        </w:rPr>
        <w:t xml:space="preserve"> and .22 for the </w:t>
      </w:r>
      <w:r w:rsidRPr="006D7B25">
        <w:rPr>
          <w:i/>
          <w:sz w:val="20"/>
        </w:rPr>
        <w:t>Phonemic Decoding Efficiency</w:t>
      </w:r>
      <w:r w:rsidRPr="006D7B25">
        <w:rPr>
          <w:sz w:val="20"/>
        </w:rPr>
        <w:t xml:space="preserve"> subtests, respectively). </w:t>
      </w:r>
      <w:r w:rsidR="002E6DE4" w:rsidRPr="006D7B25">
        <w:rPr>
          <w:sz w:val="20"/>
        </w:rPr>
        <w:t>F</w:t>
      </w:r>
      <w:r w:rsidRPr="006D7B25">
        <w:rPr>
          <w:sz w:val="20"/>
        </w:rPr>
        <w:t>urther analy</w:t>
      </w:r>
      <w:r w:rsidR="002E6DE4" w:rsidRPr="006D7B25">
        <w:rPr>
          <w:sz w:val="20"/>
        </w:rPr>
        <w:t>sis of individual performance on the TOWRE was made (Table 5). T</w:t>
      </w:r>
      <w:r w:rsidRPr="006D7B25">
        <w:rPr>
          <w:sz w:val="20"/>
        </w:rPr>
        <w:t xml:space="preserve">he results of the </w:t>
      </w:r>
      <w:r w:rsidRPr="006D7B25">
        <w:rPr>
          <w:i/>
          <w:sz w:val="20"/>
        </w:rPr>
        <w:t>Sight Word Efficiency</w:t>
      </w:r>
      <w:r w:rsidRPr="006D7B25">
        <w:rPr>
          <w:sz w:val="20"/>
        </w:rPr>
        <w:t xml:space="preserve"> subtest</w:t>
      </w:r>
      <w:r w:rsidR="002E6DE4" w:rsidRPr="006D7B25">
        <w:rPr>
          <w:sz w:val="20"/>
        </w:rPr>
        <w:t xml:space="preserve"> show that </w:t>
      </w:r>
      <w:r w:rsidRPr="006D7B25">
        <w:rPr>
          <w:sz w:val="20"/>
        </w:rPr>
        <w:t xml:space="preserve">of the nine </w:t>
      </w:r>
      <w:r w:rsidR="00444984" w:rsidRPr="006D7B25">
        <w:rPr>
          <w:sz w:val="20"/>
        </w:rPr>
        <w:t>students</w:t>
      </w:r>
      <w:r w:rsidRPr="006D7B25">
        <w:rPr>
          <w:sz w:val="20"/>
        </w:rPr>
        <w:t xml:space="preserve">, four had pretest scores that were &lt;55, indicating the lowest possible standard score.  For the purposes of analysis, these scores were entered as 55, as the exact score is unknown, however this may have artificially inflated the average pretest scores for this subtest.  On the posttest, only one </w:t>
      </w:r>
      <w:r w:rsidR="00034F47" w:rsidRPr="006D7B25">
        <w:rPr>
          <w:sz w:val="20"/>
        </w:rPr>
        <w:t xml:space="preserve">student </w:t>
      </w:r>
      <w:r w:rsidRPr="006D7B25">
        <w:rPr>
          <w:sz w:val="20"/>
        </w:rPr>
        <w:t xml:space="preserve">had a score of &lt;55, suggesting that some gains were made for those students with the lowest skill levels in this area.  On the </w:t>
      </w:r>
      <w:r w:rsidRPr="006D7B25">
        <w:rPr>
          <w:i/>
          <w:sz w:val="20"/>
        </w:rPr>
        <w:t>Phonemic Decoding Efficiency</w:t>
      </w:r>
      <w:r w:rsidRPr="006D7B25">
        <w:rPr>
          <w:sz w:val="20"/>
        </w:rPr>
        <w:t xml:space="preserve"> subtest, </w:t>
      </w:r>
      <w:r w:rsidR="00943206" w:rsidRPr="006D7B25">
        <w:rPr>
          <w:sz w:val="20"/>
        </w:rPr>
        <w:t xml:space="preserve">three </w:t>
      </w:r>
      <w:r w:rsidRPr="006D7B25">
        <w:rPr>
          <w:sz w:val="20"/>
        </w:rPr>
        <w:t xml:space="preserve">of the </w:t>
      </w:r>
      <w:r w:rsidR="00943206" w:rsidRPr="006D7B25">
        <w:rPr>
          <w:sz w:val="20"/>
        </w:rPr>
        <w:t xml:space="preserve">nine </w:t>
      </w:r>
      <w:r w:rsidR="00444984" w:rsidRPr="006D7B25">
        <w:rPr>
          <w:sz w:val="20"/>
        </w:rPr>
        <w:t xml:space="preserve">students </w:t>
      </w:r>
      <w:r w:rsidRPr="006D7B25">
        <w:rPr>
          <w:sz w:val="20"/>
        </w:rPr>
        <w:t xml:space="preserve">made small to large gains, and two had consistent scores after the intervention. </w:t>
      </w:r>
    </w:p>
    <w:p w:rsidR="00D50AD8" w:rsidRPr="006D7B25" w:rsidRDefault="00D50AD8" w:rsidP="00D50AD8">
      <w:pPr>
        <w:pStyle w:val="08BodyText"/>
        <w:spacing w:line="240" w:lineRule="auto"/>
        <w:ind w:firstLine="0"/>
        <w:jc w:val="both"/>
        <w:rPr>
          <w:sz w:val="20"/>
        </w:rPr>
      </w:pPr>
    </w:p>
    <w:p w:rsidR="00A25374" w:rsidRDefault="00A25374" w:rsidP="00D50AD8">
      <w:pPr>
        <w:jc w:val="center"/>
        <w:rPr>
          <w:b/>
          <w:sz w:val="20"/>
          <w:szCs w:val="20"/>
        </w:rPr>
      </w:pPr>
    </w:p>
    <w:p w:rsidR="004118AD" w:rsidRPr="00D50AD8" w:rsidRDefault="004118AD" w:rsidP="00D50AD8">
      <w:pPr>
        <w:jc w:val="center"/>
        <w:rPr>
          <w:b/>
          <w:sz w:val="20"/>
          <w:szCs w:val="20"/>
        </w:rPr>
      </w:pPr>
      <w:r w:rsidRPr="00D50AD8">
        <w:rPr>
          <w:b/>
          <w:sz w:val="20"/>
          <w:szCs w:val="20"/>
        </w:rPr>
        <w:t>Table 5</w:t>
      </w:r>
      <w:r w:rsidR="00D50AD8" w:rsidRPr="00D50AD8">
        <w:rPr>
          <w:b/>
          <w:sz w:val="20"/>
          <w:szCs w:val="20"/>
        </w:rPr>
        <w:t xml:space="preserve">. </w:t>
      </w:r>
      <w:r w:rsidRPr="00D50AD8">
        <w:rPr>
          <w:b/>
          <w:sz w:val="20"/>
          <w:szCs w:val="20"/>
        </w:rPr>
        <w:t>TOWRE Pretest-Posttest Difference (Gain) Scores and Effect Sizes (d) by Participant and Subtest</w:t>
      </w:r>
    </w:p>
    <w:tbl>
      <w:tblPr>
        <w:tblW w:w="0" w:type="auto"/>
        <w:tblLayout w:type="fixed"/>
        <w:tblLook w:val="04A0"/>
      </w:tblPr>
      <w:tblGrid>
        <w:gridCol w:w="2088"/>
        <w:gridCol w:w="2970"/>
        <w:gridCol w:w="3690"/>
      </w:tblGrid>
      <w:tr w:rsidR="004118AD" w:rsidRPr="006D7B25" w:rsidTr="00D82C05">
        <w:tc>
          <w:tcPr>
            <w:tcW w:w="2088" w:type="dxa"/>
            <w:tcBorders>
              <w:bottom w:val="single" w:sz="4" w:space="0" w:color="000000"/>
            </w:tcBorders>
          </w:tcPr>
          <w:p w:rsidR="004118AD" w:rsidRPr="006D7B25" w:rsidRDefault="004118AD" w:rsidP="006D7B25">
            <w:pPr>
              <w:jc w:val="both"/>
              <w:rPr>
                <w:sz w:val="20"/>
                <w:szCs w:val="20"/>
              </w:rPr>
            </w:pPr>
            <w:r w:rsidRPr="006D7B25">
              <w:rPr>
                <w:sz w:val="20"/>
                <w:szCs w:val="20"/>
              </w:rPr>
              <w:t>Participant</w:t>
            </w:r>
          </w:p>
        </w:tc>
        <w:tc>
          <w:tcPr>
            <w:tcW w:w="2970" w:type="dxa"/>
            <w:tcBorders>
              <w:bottom w:val="single" w:sz="4" w:space="0" w:color="000000"/>
            </w:tcBorders>
          </w:tcPr>
          <w:p w:rsidR="004118AD" w:rsidRPr="006D7B25" w:rsidRDefault="004118AD" w:rsidP="006D7B25">
            <w:pPr>
              <w:jc w:val="both"/>
              <w:rPr>
                <w:sz w:val="20"/>
                <w:szCs w:val="20"/>
              </w:rPr>
            </w:pPr>
            <w:r w:rsidRPr="006D7B25">
              <w:rPr>
                <w:sz w:val="20"/>
                <w:szCs w:val="20"/>
              </w:rPr>
              <w:t>Sight Word Efficiency</w:t>
            </w:r>
          </w:p>
        </w:tc>
        <w:tc>
          <w:tcPr>
            <w:tcW w:w="3690" w:type="dxa"/>
            <w:tcBorders>
              <w:bottom w:val="single" w:sz="4" w:space="0" w:color="000000"/>
            </w:tcBorders>
          </w:tcPr>
          <w:p w:rsidR="004118AD" w:rsidRPr="006D7B25" w:rsidRDefault="004118AD" w:rsidP="006D7B25">
            <w:pPr>
              <w:jc w:val="both"/>
              <w:rPr>
                <w:sz w:val="20"/>
                <w:szCs w:val="20"/>
              </w:rPr>
            </w:pPr>
            <w:r w:rsidRPr="006D7B25">
              <w:rPr>
                <w:sz w:val="20"/>
                <w:szCs w:val="20"/>
              </w:rPr>
              <w:t>Phonemic Decoding</w:t>
            </w:r>
          </w:p>
        </w:tc>
      </w:tr>
      <w:tr w:rsidR="004118AD" w:rsidRPr="006D7B25" w:rsidTr="00D82C05">
        <w:tc>
          <w:tcPr>
            <w:tcW w:w="2088" w:type="dxa"/>
            <w:tcBorders>
              <w:top w:val="single" w:sz="4" w:space="0" w:color="000000"/>
              <w:bottom w:val="single" w:sz="4" w:space="0" w:color="000000"/>
            </w:tcBorders>
          </w:tcPr>
          <w:p w:rsidR="004118AD" w:rsidRPr="006D7B25" w:rsidRDefault="004118AD" w:rsidP="006D7B25">
            <w:pPr>
              <w:jc w:val="both"/>
              <w:rPr>
                <w:sz w:val="20"/>
                <w:szCs w:val="20"/>
              </w:rPr>
            </w:pPr>
          </w:p>
        </w:tc>
        <w:tc>
          <w:tcPr>
            <w:tcW w:w="2970" w:type="dxa"/>
            <w:tcBorders>
              <w:top w:val="single" w:sz="4" w:space="0" w:color="000000"/>
              <w:bottom w:val="single" w:sz="4" w:space="0" w:color="000000"/>
            </w:tcBorders>
          </w:tcPr>
          <w:p w:rsidR="004118AD" w:rsidRPr="006D7B25" w:rsidRDefault="004118AD" w:rsidP="006D7B25">
            <w:pPr>
              <w:jc w:val="both"/>
              <w:rPr>
                <w:sz w:val="20"/>
                <w:szCs w:val="20"/>
              </w:rPr>
            </w:pPr>
            <w:r w:rsidRPr="006D7B25">
              <w:rPr>
                <w:sz w:val="20"/>
                <w:szCs w:val="20"/>
              </w:rPr>
              <w:t xml:space="preserve">Gain Score </w:t>
            </w:r>
          </w:p>
          <w:p w:rsidR="004118AD" w:rsidRPr="006D7B25" w:rsidRDefault="004118AD" w:rsidP="006D7B25">
            <w:pPr>
              <w:jc w:val="both"/>
              <w:rPr>
                <w:sz w:val="20"/>
                <w:szCs w:val="20"/>
              </w:rPr>
            </w:pPr>
            <w:r w:rsidRPr="006D7B25">
              <w:rPr>
                <w:sz w:val="20"/>
                <w:szCs w:val="20"/>
              </w:rPr>
              <w:t>(effect size)</w:t>
            </w:r>
          </w:p>
        </w:tc>
        <w:tc>
          <w:tcPr>
            <w:tcW w:w="3690" w:type="dxa"/>
            <w:tcBorders>
              <w:top w:val="single" w:sz="4" w:space="0" w:color="000000"/>
              <w:bottom w:val="single" w:sz="4" w:space="0" w:color="000000"/>
            </w:tcBorders>
          </w:tcPr>
          <w:p w:rsidR="004118AD" w:rsidRPr="006D7B25" w:rsidRDefault="004118AD" w:rsidP="006D7B25">
            <w:pPr>
              <w:jc w:val="both"/>
              <w:rPr>
                <w:sz w:val="20"/>
                <w:szCs w:val="20"/>
              </w:rPr>
            </w:pPr>
            <w:r w:rsidRPr="006D7B25">
              <w:rPr>
                <w:sz w:val="20"/>
                <w:szCs w:val="20"/>
              </w:rPr>
              <w:t>Gain Score (effect size)</w:t>
            </w:r>
          </w:p>
        </w:tc>
      </w:tr>
      <w:tr w:rsidR="004118AD" w:rsidRPr="006D7B25" w:rsidTr="00D82C05">
        <w:tc>
          <w:tcPr>
            <w:tcW w:w="2088" w:type="dxa"/>
            <w:tcBorders>
              <w:top w:val="single" w:sz="4" w:space="0" w:color="000000"/>
            </w:tcBorders>
            <w:vAlign w:val="center"/>
          </w:tcPr>
          <w:p w:rsidR="004118AD" w:rsidRPr="006D7B25" w:rsidRDefault="004118AD" w:rsidP="006D7B25">
            <w:pPr>
              <w:jc w:val="both"/>
              <w:rPr>
                <w:sz w:val="20"/>
                <w:szCs w:val="20"/>
              </w:rPr>
            </w:pPr>
            <w:r w:rsidRPr="006D7B25">
              <w:rPr>
                <w:sz w:val="20"/>
                <w:szCs w:val="20"/>
              </w:rPr>
              <w:t>1</w:t>
            </w:r>
          </w:p>
        </w:tc>
        <w:tc>
          <w:tcPr>
            <w:tcW w:w="2970" w:type="dxa"/>
            <w:tcBorders>
              <w:top w:val="single" w:sz="4" w:space="0" w:color="000000"/>
            </w:tcBorders>
          </w:tcPr>
          <w:p w:rsidR="004118AD" w:rsidRPr="006D7B25" w:rsidRDefault="004118AD" w:rsidP="006D7B25">
            <w:pPr>
              <w:jc w:val="both"/>
              <w:rPr>
                <w:sz w:val="20"/>
                <w:szCs w:val="20"/>
              </w:rPr>
            </w:pPr>
            <w:r w:rsidRPr="006D7B25">
              <w:rPr>
                <w:sz w:val="20"/>
                <w:szCs w:val="20"/>
              </w:rPr>
              <w:t>0 (0)</w:t>
            </w:r>
          </w:p>
        </w:tc>
        <w:tc>
          <w:tcPr>
            <w:tcW w:w="3690" w:type="dxa"/>
            <w:tcBorders>
              <w:top w:val="single" w:sz="4" w:space="0" w:color="000000"/>
            </w:tcBorders>
          </w:tcPr>
          <w:p w:rsidR="004118AD" w:rsidRPr="006D7B25" w:rsidRDefault="004118AD" w:rsidP="006D7B25">
            <w:pPr>
              <w:jc w:val="both"/>
              <w:rPr>
                <w:sz w:val="20"/>
                <w:szCs w:val="20"/>
              </w:rPr>
            </w:pPr>
            <w:r w:rsidRPr="006D7B25">
              <w:rPr>
                <w:sz w:val="20"/>
                <w:szCs w:val="20"/>
              </w:rPr>
              <w:t>0 (0)</w:t>
            </w:r>
          </w:p>
        </w:tc>
      </w:tr>
      <w:tr w:rsidR="004118AD" w:rsidRPr="006D7B25" w:rsidTr="00D82C05">
        <w:tc>
          <w:tcPr>
            <w:tcW w:w="2088" w:type="dxa"/>
            <w:vAlign w:val="center"/>
          </w:tcPr>
          <w:p w:rsidR="004118AD" w:rsidRPr="006D7B25" w:rsidRDefault="004118AD" w:rsidP="006D7B25">
            <w:pPr>
              <w:jc w:val="both"/>
              <w:rPr>
                <w:sz w:val="20"/>
                <w:szCs w:val="20"/>
              </w:rPr>
            </w:pPr>
            <w:r w:rsidRPr="006D7B25">
              <w:rPr>
                <w:sz w:val="20"/>
                <w:szCs w:val="20"/>
              </w:rPr>
              <w:t>2</w:t>
            </w:r>
          </w:p>
        </w:tc>
        <w:tc>
          <w:tcPr>
            <w:tcW w:w="2970" w:type="dxa"/>
          </w:tcPr>
          <w:p w:rsidR="004118AD" w:rsidRPr="006D7B25" w:rsidRDefault="004118AD" w:rsidP="006D7B25">
            <w:pPr>
              <w:jc w:val="both"/>
              <w:rPr>
                <w:sz w:val="20"/>
                <w:szCs w:val="20"/>
              </w:rPr>
            </w:pPr>
            <w:r w:rsidRPr="006D7B25">
              <w:rPr>
                <w:sz w:val="20"/>
                <w:szCs w:val="20"/>
              </w:rPr>
              <w:t>7(1.47)*</w:t>
            </w:r>
          </w:p>
        </w:tc>
        <w:tc>
          <w:tcPr>
            <w:tcW w:w="3690" w:type="dxa"/>
          </w:tcPr>
          <w:p w:rsidR="004118AD" w:rsidRPr="006D7B25" w:rsidRDefault="004118AD" w:rsidP="006D7B25">
            <w:pPr>
              <w:jc w:val="both"/>
              <w:rPr>
                <w:sz w:val="20"/>
                <w:szCs w:val="20"/>
              </w:rPr>
            </w:pPr>
            <w:r w:rsidRPr="006D7B25">
              <w:rPr>
                <w:sz w:val="20"/>
                <w:szCs w:val="20"/>
              </w:rPr>
              <w:t>-7 (-.47)</w:t>
            </w:r>
          </w:p>
        </w:tc>
      </w:tr>
      <w:tr w:rsidR="004118AD" w:rsidRPr="006D7B25" w:rsidTr="00D82C05">
        <w:tc>
          <w:tcPr>
            <w:tcW w:w="2088" w:type="dxa"/>
            <w:vAlign w:val="center"/>
          </w:tcPr>
          <w:p w:rsidR="004118AD" w:rsidRPr="006D7B25" w:rsidRDefault="004118AD" w:rsidP="006D7B25">
            <w:pPr>
              <w:jc w:val="both"/>
              <w:rPr>
                <w:sz w:val="20"/>
                <w:szCs w:val="20"/>
              </w:rPr>
            </w:pPr>
            <w:r w:rsidRPr="006D7B25">
              <w:rPr>
                <w:sz w:val="20"/>
                <w:szCs w:val="20"/>
              </w:rPr>
              <w:t>3</w:t>
            </w:r>
          </w:p>
        </w:tc>
        <w:tc>
          <w:tcPr>
            <w:tcW w:w="2970" w:type="dxa"/>
          </w:tcPr>
          <w:p w:rsidR="004118AD" w:rsidRPr="006D7B25" w:rsidRDefault="004118AD" w:rsidP="006D7B25">
            <w:pPr>
              <w:jc w:val="both"/>
              <w:rPr>
                <w:sz w:val="20"/>
                <w:szCs w:val="20"/>
              </w:rPr>
            </w:pPr>
            <w:r w:rsidRPr="006D7B25">
              <w:rPr>
                <w:sz w:val="20"/>
                <w:szCs w:val="20"/>
              </w:rPr>
              <w:t>3 (.20)</w:t>
            </w:r>
          </w:p>
        </w:tc>
        <w:tc>
          <w:tcPr>
            <w:tcW w:w="3690" w:type="dxa"/>
          </w:tcPr>
          <w:p w:rsidR="004118AD" w:rsidRPr="006D7B25" w:rsidRDefault="004118AD" w:rsidP="006D7B25">
            <w:pPr>
              <w:jc w:val="both"/>
              <w:rPr>
                <w:sz w:val="20"/>
                <w:szCs w:val="20"/>
              </w:rPr>
            </w:pPr>
            <w:r w:rsidRPr="006D7B25">
              <w:rPr>
                <w:sz w:val="20"/>
                <w:szCs w:val="20"/>
              </w:rPr>
              <w:t>14 (.93)*</w:t>
            </w:r>
          </w:p>
        </w:tc>
      </w:tr>
      <w:tr w:rsidR="004118AD" w:rsidRPr="006D7B25" w:rsidTr="00D82C05">
        <w:tc>
          <w:tcPr>
            <w:tcW w:w="2088" w:type="dxa"/>
            <w:vAlign w:val="center"/>
          </w:tcPr>
          <w:p w:rsidR="004118AD" w:rsidRPr="006D7B25" w:rsidRDefault="004118AD" w:rsidP="006D7B25">
            <w:pPr>
              <w:jc w:val="both"/>
              <w:rPr>
                <w:sz w:val="20"/>
                <w:szCs w:val="20"/>
              </w:rPr>
            </w:pPr>
            <w:r w:rsidRPr="006D7B25">
              <w:rPr>
                <w:sz w:val="20"/>
                <w:szCs w:val="20"/>
              </w:rPr>
              <w:t>4</w:t>
            </w:r>
          </w:p>
        </w:tc>
        <w:tc>
          <w:tcPr>
            <w:tcW w:w="2970" w:type="dxa"/>
          </w:tcPr>
          <w:p w:rsidR="004118AD" w:rsidRPr="006D7B25" w:rsidRDefault="004118AD" w:rsidP="006D7B25">
            <w:pPr>
              <w:jc w:val="both"/>
              <w:rPr>
                <w:sz w:val="20"/>
                <w:szCs w:val="20"/>
              </w:rPr>
            </w:pPr>
            <w:r w:rsidRPr="006D7B25">
              <w:rPr>
                <w:sz w:val="20"/>
                <w:szCs w:val="20"/>
              </w:rPr>
              <w:t>-7 (-.47)</w:t>
            </w:r>
          </w:p>
        </w:tc>
        <w:tc>
          <w:tcPr>
            <w:tcW w:w="3690" w:type="dxa"/>
          </w:tcPr>
          <w:p w:rsidR="004118AD" w:rsidRPr="006D7B25" w:rsidRDefault="004118AD" w:rsidP="006D7B25">
            <w:pPr>
              <w:jc w:val="both"/>
              <w:rPr>
                <w:sz w:val="20"/>
                <w:szCs w:val="20"/>
              </w:rPr>
            </w:pPr>
            <w:r w:rsidRPr="006D7B25">
              <w:rPr>
                <w:sz w:val="20"/>
                <w:szCs w:val="20"/>
              </w:rPr>
              <w:t>-3 (-.20)</w:t>
            </w:r>
          </w:p>
        </w:tc>
      </w:tr>
      <w:tr w:rsidR="004118AD" w:rsidRPr="006D7B25" w:rsidTr="00D82C05">
        <w:tc>
          <w:tcPr>
            <w:tcW w:w="2088" w:type="dxa"/>
            <w:vAlign w:val="center"/>
          </w:tcPr>
          <w:p w:rsidR="004118AD" w:rsidRPr="006D7B25" w:rsidRDefault="004118AD" w:rsidP="006D7B25">
            <w:pPr>
              <w:jc w:val="both"/>
              <w:rPr>
                <w:sz w:val="20"/>
                <w:szCs w:val="20"/>
              </w:rPr>
            </w:pPr>
            <w:r w:rsidRPr="006D7B25">
              <w:rPr>
                <w:sz w:val="20"/>
                <w:szCs w:val="20"/>
              </w:rPr>
              <w:t>5</w:t>
            </w:r>
          </w:p>
        </w:tc>
        <w:tc>
          <w:tcPr>
            <w:tcW w:w="2970" w:type="dxa"/>
          </w:tcPr>
          <w:p w:rsidR="004118AD" w:rsidRPr="006D7B25" w:rsidRDefault="004118AD" w:rsidP="006D7B25">
            <w:pPr>
              <w:jc w:val="both"/>
              <w:rPr>
                <w:sz w:val="20"/>
                <w:szCs w:val="20"/>
              </w:rPr>
            </w:pPr>
            <w:r w:rsidRPr="006D7B25">
              <w:rPr>
                <w:sz w:val="20"/>
                <w:szCs w:val="20"/>
              </w:rPr>
              <w:t>-1(-.07)</w:t>
            </w:r>
          </w:p>
        </w:tc>
        <w:tc>
          <w:tcPr>
            <w:tcW w:w="3690" w:type="dxa"/>
          </w:tcPr>
          <w:p w:rsidR="004118AD" w:rsidRPr="006D7B25" w:rsidRDefault="004118AD" w:rsidP="006D7B25">
            <w:pPr>
              <w:jc w:val="both"/>
              <w:rPr>
                <w:sz w:val="20"/>
                <w:szCs w:val="20"/>
              </w:rPr>
            </w:pPr>
            <w:r w:rsidRPr="006D7B25">
              <w:rPr>
                <w:sz w:val="20"/>
                <w:szCs w:val="20"/>
              </w:rPr>
              <w:t>0 (0)</w:t>
            </w:r>
          </w:p>
        </w:tc>
      </w:tr>
      <w:tr w:rsidR="004118AD" w:rsidRPr="006D7B25" w:rsidTr="00D82C05">
        <w:tc>
          <w:tcPr>
            <w:tcW w:w="2088" w:type="dxa"/>
            <w:vAlign w:val="center"/>
          </w:tcPr>
          <w:p w:rsidR="004118AD" w:rsidRPr="006D7B25" w:rsidRDefault="004118AD" w:rsidP="006D7B25">
            <w:pPr>
              <w:jc w:val="both"/>
              <w:rPr>
                <w:sz w:val="20"/>
                <w:szCs w:val="20"/>
              </w:rPr>
            </w:pPr>
            <w:r w:rsidRPr="006D7B25">
              <w:rPr>
                <w:sz w:val="20"/>
                <w:szCs w:val="20"/>
              </w:rPr>
              <w:t>6</w:t>
            </w:r>
          </w:p>
        </w:tc>
        <w:tc>
          <w:tcPr>
            <w:tcW w:w="2970" w:type="dxa"/>
          </w:tcPr>
          <w:p w:rsidR="004118AD" w:rsidRPr="006D7B25" w:rsidRDefault="004118AD" w:rsidP="006D7B25">
            <w:pPr>
              <w:jc w:val="both"/>
              <w:rPr>
                <w:sz w:val="20"/>
                <w:szCs w:val="20"/>
              </w:rPr>
            </w:pPr>
            <w:r w:rsidRPr="006D7B25">
              <w:rPr>
                <w:sz w:val="20"/>
                <w:szCs w:val="20"/>
              </w:rPr>
              <w:t>0 (0)</w:t>
            </w:r>
          </w:p>
        </w:tc>
        <w:tc>
          <w:tcPr>
            <w:tcW w:w="3690" w:type="dxa"/>
          </w:tcPr>
          <w:p w:rsidR="004118AD" w:rsidRPr="006D7B25" w:rsidRDefault="004118AD" w:rsidP="006D7B25">
            <w:pPr>
              <w:jc w:val="both"/>
              <w:rPr>
                <w:sz w:val="20"/>
                <w:szCs w:val="20"/>
              </w:rPr>
            </w:pPr>
            <w:r w:rsidRPr="006D7B25">
              <w:rPr>
                <w:sz w:val="20"/>
                <w:szCs w:val="20"/>
              </w:rPr>
              <w:t>-2 (-.20)</w:t>
            </w:r>
          </w:p>
        </w:tc>
      </w:tr>
      <w:tr w:rsidR="004118AD" w:rsidRPr="006D7B25" w:rsidTr="00D82C05">
        <w:tc>
          <w:tcPr>
            <w:tcW w:w="2088" w:type="dxa"/>
            <w:vAlign w:val="center"/>
          </w:tcPr>
          <w:p w:rsidR="004118AD" w:rsidRPr="006D7B25" w:rsidRDefault="004118AD" w:rsidP="006D7B25">
            <w:pPr>
              <w:jc w:val="both"/>
              <w:rPr>
                <w:sz w:val="20"/>
                <w:szCs w:val="20"/>
              </w:rPr>
            </w:pPr>
            <w:r w:rsidRPr="006D7B25">
              <w:rPr>
                <w:sz w:val="20"/>
                <w:szCs w:val="20"/>
              </w:rPr>
              <w:t>7</w:t>
            </w:r>
          </w:p>
        </w:tc>
        <w:tc>
          <w:tcPr>
            <w:tcW w:w="2970" w:type="dxa"/>
          </w:tcPr>
          <w:p w:rsidR="004118AD" w:rsidRPr="006D7B25" w:rsidRDefault="004118AD" w:rsidP="006D7B25">
            <w:pPr>
              <w:jc w:val="both"/>
              <w:rPr>
                <w:sz w:val="20"/>
                <w:szCs w:val="20"/>
              </w:rPr>
            </w:pPr>
            <w:r w:rsidRPr="006D7B25">
              <w:rPr>
                <w:sz w:val="20"/>
                <w:szCs w:val="20"/>
              </w:rPr>
              <w:t>7 (.47)*</w:t>
            </w:r>
          </w:p>
        </w:tc>
        <w:tc>
          <w:tcPr>
            <w:tcW w:w="3690" w:type="dxa"/>
          </w:tcPr>
          <w:p w:rsidR="004118AD" w:rsidRPr="006D7B25" w:rsidRDefault="004118AD" w:rsidP="006D7B25">
            <w:pPr>
              <w:jc w:val="both"/>
              <w:rPr>
                <w:sz w:val="20"/>
                <w:szCs w:val="20"/>
              </w:rPr>
            </w:pPr>
            <w:r w:rsidRPr="006D7B25">
              <w:rPr>
                <w:sz w:val="20"/>
                <w:szCs w:val="20"/>
              </w:rPr>
              <w:t>-4 (-.27)</w:t>
            </w:r>
          </w:p>
        </w:tc>
      </w:tr>
      <w:tr w:rsidR="004118AD" w:rsidRPr="006D7B25" w:rsidTr="00D82C05">
        <w:tc>
          <w:tcPr>
            <w:tcW w:w="2088" w:type="dxa"/>
            <w:vAlign w:val="center"/>
          </w:tcPr>
          <w:p w:rsidR="004118AD" w:rsidRPr="006D7B25" w:rsidRDefault="004118AD" w:rsidP="006D7B25">
            <w:pPr>
              <w:jc w:val="both"/>
              <w:rPr>
                <w:sz w:val="20"/>
                <w:szCs w:val="20"/>
              </w:rPr>
            </w:pPr>
            <w:r w:rsidRPr="006D7B25">
              <w:rPr>
                <w:sz w:val="20"/>
                <w:szCs w:val="20"/>
              </w:rPr>
              <w:t>8</w:t>
            </w:r>
          </w:p>
        </w:tc>
        <w:tc>
          <w:tcPr>
            <w:tcW w:w="2970" w:type="dxa"/>
          </w:tcPr>
          <w:p w:rsidR="004118AD" w:rsidRPr="006D7B25" w:rsidRDefault="004118AD" w:rsidP="006D7B25">
            <w:pPr>
              <w:jc w:val="both"/>
              <w:rPr>
                <w:sz w:val="20"/>
                <w:szCs w:val="20"/>
              </w:rPr>
            </w:pPr>
            <w:r w:rsidRPr="006D7B25">
              <w:rPr>
                <w:sz w:val="20"/>
                <w:szCs w:val="20"/>
              </w:rPr>
              <w:t>2 (.13)</w:t>
            </w:r>
          </w:p>
        </w:tc>
        <w:tc>
          <w:tcPr>
            <w:tcW w:w="3690" w:type="dxa"/>
          </w:tcPr>
          <w:p w:rsidR="004118AD" w:rsidRPr="006D7B25" w:rsidRDefault="004118AD" w:rsidP="006D7B25">
            <w:pPr>
              <w:jc w:val="both"/>
              <w:rPr>
                <w:sz w:val="20"/>
                <w:szCs w:val="20"/>
              </w:rPr>
            </w:pPr>
            <w:r w:rsidRPr="006D7B25">
              <w:rPr>
                <w:sz w:val="20"/>
                <w:szCs w:val="20"/>
              </w:rPr>
              <w:t>2 (.20)</w:t>
            </w:r>
          </w:p>
        </w:tc>
      </w:tr>
      <w:tr w:rsidR="004118AD" w:rsidRPr="006D7B25" w:rsidTr="00D82C05">
        <w:tc>
          <w:tcPr>
            <w:tcW w:w="2088" w:type="dxa"/>
            <w:tcBorders>
              <w:bottom w:val="single" w:sz="4" w:space="0" w:color="000000"/>
            </w:tcBorders>
            <w:vAlign w:val="center"/>
          </w:tcPr>
          <w:p w:rsidR="004118AD" w:rsidRPr="006D7B25" w:rsidRDefault="004118AD" w:rsidP="006D7B25">
            <w:pPr>
              <w:jc w:val="both"/>
              <w:rPr>
                <w:sz w:val="20"/>
                <w:szCs w:val="20"/>
              </w:rPr>
            </w:pPr>
            <w:r w:rsidRPr="006D7B25">
              <w:rPr>
                <w:sz w:val="20"/>
                <w:szCs w:val="20"/>
              </w:rPr>
              <w:t>9</w:t>
            </w:r>
          </w:p>
        </w:tc>
        <w:tc>
          <w:tcPr>
            <w:tcW w:w="2970" w:type="dxa"/>
            <w:tcBorders>
              <w:bottom w:val="single" w:sz="4" w:space="0" w:color="000000"/>
            </w:tcBorders>
          </w:tcPr>
          <w:p w:rsidR="004118AD" w:rsidRPr="006D7B25" w:rsidRDefault="004118AD" w:rsidP="006D7B25">
            <w:pPr>
              <w:jc w:val="both"/>
              <w:rPr>
                <w:sz w:val="20"/>
                <w:szCs w:val="20"/>
              </w:rPr>
            </w:pPr>
            <w:r w:rsidRPr="006D7B25">
              <w:rPr>
                <w:sz w:val="20"/>
                <w:szCs w:val="20"/>
              </w:rPr>
              <w:t>26 (1.73)*</w:t>
            </w:r>
          </w:p>
        </w:tc>
        <w:tc>
          <w:tcPr>
            <w:tcW w:w="3690" w:type="dxa"/>
            <w:tcBorders>
              <w:bottom w:val="single" w:sz="4" w:space="0" w:color="000000"/>
            </w:tcBorders>
          </w:tcPr>
          <w:p w:rsidR="004118AD" w:rsidRPr="006D7B25" w:rsidRDefault="004118AD" w:rsidP="006D7B25">
            <w:pPr>
              <w:jc w:val="both"/>
              <w:rPr>
                <w:sz w:val="20"/>
                <w:szCs w:val="20"/>
              </w:rPr>
            </w:pPr>
            <w:r w:rsidRPr="006D7B25">
              <w:rPr>
                <w:sz w:val="20"/>
                <w:szCs w:val="20"/>
              </w:rPr>
              <w:t>27(1.8)*</w:t>
            </w:r>
          </w:p>
        </w:tc>
      </w:tr>
    </w:tbl>
    <w:p w:rsidR="004118AD" w:rsidRPr="00D50AD8" w:rsidRDefault="004118AD" w:rsidP="006D7B25">
      <w:pPr>
        <w:jc w:val="both"/>
        <w:rPr>
          <w:sz w:val="16"/>
          <w:szCs w:val="16"/>
        </w:rPr>
      </w:pPr>
      <w:r w:rsidRPr="00D50AD8">
        <w:rPr>
          <w:i/>
          <w:sz w:val="16"/>
          <w:szCs w:val="16"/>
        </w:rPr>
        <w:t>Note.</w:t>
      </w:r>
      <w:r w:rsidRPr="00D50AD8">
        <w:rPr>
          <w:sz w:val="16"/>
          <w:szCs w:val="16"/>
        </w:rPr>
        <w:t xml:space="preserve"> Medium and large effect sizes are indicated by an *</w:t>
      </w:r>
    </w:p>
    <w:p w:rsidR="00D50AD8" w:rsidRDefault="00D50AD8" w:rsidP="006D7B25">
      <w:pPr>
        <w:pStyle w:val="08BodyText"/>
        <w:spacing w:line="240" w:lineRule="auto"/>
        <w:ind w:firstLine="0"/>
        <w:jc w:val="both"/>
        <w:rPr>
          <w:b/>
          <w:sz w:val="20"/>
        </w:rPr>
      </w:pPr>
    </w:p>
    <w:p w:rsidR="00570B16" w:rsidRPr="006D7B25" w:rsidRDefault="00570B16" w:rsidP="006D7B25">
      <w:pPr>
        <w:pStyle w:val="08BodyText"/>
        <w:spacing w:line="240" w:lineRule="auto"/>
        <w:ind w:firstLine="0"/>
        <w:jc w:val="both"/>
        <w:rPr>
          <w:b/>
          <w:sz w:val="20"/>
        </w:rPr>
      </w:pPr>
      <w:r w:rsidRPr="006D7B25">
        <w:rPr>
          <w:b/>
          <w:sz w:val="20"/>
        </w:rPr>
        <w:t>Discussion</w:t>
      </w:r>
    </w:p>
    <w:p w:rsidR="00570B16" w:rsidRPr="006D7B25" w:rsidRDefault="00570B16" w:rsidP="00D50AD8">
      <w:pPr>
        <w:pStyle w:val="08BodyText"/>
        <w:spacing w:line="240" w:lineRule="auto"/>
        <w:ind w:firstLine="0"/>
        <w:jc w:val="both"/>
        <w:rPr>
          <w:color w:val="000000"/>
          <w:sz w:val="20"/>
        </w:rPr>
      </w:pPr>
      <w:r w:rsidRPr="006D7B25">
        <w:rPr>
          <w:color w:val="000000"/>
          <w:sz w:val="20"/>
        </w:rPr>
        <w:t>This study addressed the need to identify effective</w:t>
      </w:r>
      <w:r w:rsidR="003A6072" w:rsidRPr="006D7B25">
        <w:rPr>
          <w:color w:val="000000"/>
          <w:sz w:val="20"/>
        </w:rPr>
        <w:t xml:space="preserve"> and intensive</w:t>
      </w:r>
      <w:r w:rsidRPr="006D7B25">
        <w:rPr>
          <w:color w:val="000000"/>
          <w:sz w:val="20"/>
        </w:rPr>
        <w:t xml:space="preserve">, age-appropriate treatments for older students with persistent reading problems, a challenge for many educators and practitioners.  The </w:t>
      </w:r>
      <w:r w:rsidRPr="006D7B25">
        <w:rPr>
          <w:sz w:val="20"/>
        </w:rPr>
        <w:t xml:space="preserve">effectiveness of an </w:t>
      </w:r>
      <w:r w:rsidR="00DA27AB" w:rsidRPr="006D7B25">
        <w:rPr>
          <w:sz w:val="20"/>
        </w:rPr>
        <w:t>OG</w:t>
      </w:r>
      <w:r w:rsidRPr="006D7B25">
        <w:rPr>
          <w:sz w:val="20"/>
        </w:rPr>
        <w:t>-based treatment that was used as a supplemental reading instruction program for increasing the lower-level reading skills of a group of adolescents with persistent reading problems</w:t>
      </w:r>
      <w:r w:rsidRPr="006D7B25">
        <w:rPr>
          <w:color w:val="000000"/>
          <w:sz w:val="20"/>
        </w:rPr>
        <w:t xml:space="preserve"> was explored</w:t>
      </w:r>
      <w:r w:rsidRPr="006D7B25">
        <w:rPr>
          <w:sz w:val="20"/>
        </w:rPr>
        <w:t xml:space="preserve">.  </w:t>
      </w:r>
      <w:r w:rsidR="00366152" w:rsidRPr="006D7B25">
        <w:rPr>
          <w:sz w:val="20"/>
        </w:rPr>
        <w:t xml:space="preserve">Older students in remedial reading programs must have a solid foundation of phonological awareness skills as they move through more difficult reading and spelling materials.  The type of explicit instruction provided to the </w:t>
      </w:r>
      <w:r w:rsidR="00444984" w:rsidRPr="006D7B25">
        <w:rPr>
          <w:sz w:val="20"/>
        </w:rPr>
        <w:t>students i</w:t>
      </w:r>
      <w:r w:rsidR="00366152" w:rsidRPr="006D7B25">
        <w:rPr>
          <w:sz w:val="20"/>
        </w:rPr>
        <w:t xml:space="preserve">n this study for lower-level reading skills has been shown to be effective in improving the word recognition and spelling abilities of older students with persistent written language problems (Apel &amp; Swank, 1999; Curtis, 2002; </w:t>
      </w:r>
      <w:r w:rsidR="00366152" w:rsidRPr="006D7B25">
        <w:rPr>
          <w:color w:val="000000"/>
          <w:sz w:val="20"/>
        </w:rPr>
        <w:t xml:space="preserve">Gaskins et al., 1992; Lenz &amp; Hughes, 1990; Lovett &amp; Steinbach, 1997; O’Connor &amp; Bell, 2006).  </w:t>
      </w:r>
    </w:p>
    <w:p w:rsidR="00D50AD8" w:rsidRDefault="00D50AD8" w:rsidP="00D50AD8">
      <w:pPr>
        <w:pStyle w:val="08BodyText"/>
        <w:spacing w:line="240" w:lineRule="auto"/>
        <w:ind w:firstLine="0"/>
        <w:jc w:val="both"/>
        <w:rPr>
          <w:sz w:val="20"/>
        </w:rPr>
      </w:pPr>
      <w:bookmarkStart w:id="2" w:name="bcor1"/>
      <w:bookmarkEnd w:id="2"/>
    </w:p>
    <w:p w:rsidR="00570B16" w:rsidRPr="006D7B25" w:rsidRDefault="00570B16" w:rsidP="00D50AD8">
      <w:pPr>
        <w:pStyle w:val="08BodyText"/>
        <w:spacing w:line="240" w:lineRule="auto"/>
        <w:ind w:firstLine="0"/>
        <w:jc w:val="both"/>
        <w:rPr>
          <w:sz w:val="20"/>
        </w:rPr>
      </w:pPr>
      <w:r w:rsidRPr="006D7B25">
        <w:rPr>
          <w:sz w:val="20"/>
        </w:rPr>
        <w:t xml:space="preserve">The findings of this study compare favorably with other reading intervention studies that have employed </w:t>
      </w:r>
      <w:r w:rsidR="00DA27AB" w:rsidRPr="006D7B25">
        <w:rPr>
          <w:sz w:val="20"/>
        </w:rPr>
        <w:t>OG</w:t>
      </w:r>
      <w:r w:rsidRPr="006D7B25">
        <w:rPr>
          <w:sz w:val="20"/>
        </w:rPr>
        <w:t xml:space="preserve">-based interventions with older struggling readers.  Guyer and Sabatino (1989) found that college students with reading and spelling disabilities who received </w:t>
      </w:r>
      <w:r w:rsidR="002E4354" w:rsidRPr="006D7B25">
        <w:rPr>
          <w:sz w:val="20"/>
        </w:rPr>
        <w:t xml:space="preserve">an adaptation of an OG </w:t>
      </w:r>
      <w:r w:rsidRPr="006D7B25">
        <w:rPr>
          <w:sz w:val="20"/>
        </w:rPr>
        <w:t xml:space="preserve">intervention for lower-level word recognition and production performed significantly higher on measures of word attack, word analysis, and spelling skills than students in the comparison group.  In another study, Brooks and Weeks (1998) found that students with dyslexia learned significantly more words when trained using a visual-semantic method (e.g., visualizing words; recalling a word’s composition; pointing to words while naming them) for recognizing words, similar to one of BRSS’ components, than students in the comparison group.  </w:t>
      </w:r>
    </w:p>
    <w:p w:rsidR="00D50AD8" w:rsidRDefault="00D50AD8" w:rsidP="00D50AD8">
      <w:pPr>
        <w:pStyle w:val="08BodyText"/>
        <w:spacing w:line="240" w:lineRule="auto"/>
        <w:ind w:firstLine="0"/>
        <w:jc w:val="both"/>
        <w:rPr>
          <w:color w:val="000000"/>
          <w:sz w:val="20"/>
        </w:rPr>
      </w:pPr>
    </w:p>
    <w:p w:rsidR="00366152" w:rsidRPr="006D7B25" w:rsidRDefault="00366152" w:rsidP="00D50AD8">
      <w:pPr>
        <w:pStyle w:val="08BodyText"/>
        <w:spacing w:line="240" w:lineRule="auto"/>
        <w:ind w:firstLine="0"/>
        <w:jc w:val="both"/>
        <w:rPr>
          <w:color w:val="000000"/>
          <w:sz w:val="20"/>
        </w:rPr>
      </w:pPr>
      <w:proofErr w:type="spellStart"/>
      <w:r w:rsidRPr="006D7B25">
        <w:rPr>
          <w:color w:val="000000"/>
          <w:sz w:val="20"/>
        </w:rPr>
        <w:t>Apel</w:t>
      </w:r>
      <w:proofErr w:type="spellEnd"/>
      <w:r w:rsidRPr="006D7B25">
        <w:rPr>
          <w:color w:val="000000"/>
          <w:sz w:val="20"/>
        </w:rPr>
        <w:t xml:space="preserve"> and Swank (1999) discuss</w:t>
      </w:r>
      <w:r w:rsidR="00943206" w:rsidRPr="006D7B25">
        <w:rPr>
          <w:color w:val="000000"/>
          <w:sz w:val="20"/>
        </w:rPr>
        <w:t>ed</w:t>
      </w:r>
      <w:r w:rsidRPr="006D7B25">
        <w:rPr>
          <w:color w:val="000000"/>
          <w:sz w:val="20"/>
        </w:rPr>
        <w:t xml:space="preserve"> an effective reading intervention for a college student that focused on phonological awareness skills and development of visual orthographic images. They stress that good decoding skills are essential and foundational to good comprehension skills. While Apel and Swank did not use a packaged or commercial OG or OG-based program, the description of the successful techniques mirror those used in the BRSS. For example, Apel and Swank taught their student how to tap out the number of phonemes heard in a word progressing from short CV combinations to longer strings of words. This is a procedure used early-on in the Barton program. To create mental images of words for storage in memory, Apel and Swank taught their student how to visualize the shape of word on written on a card, how to visualize that word in the air, and how to check back and forth between the visualized word and the printed word. Barton employs this visualization technique to teach spelling rules.  </w:t>
      </w:r>
    </w:p>
    <w:p w:rsidR="00D50AD8" w:rsidRDefault="00D50AD8" w:rsidP="00D50AD8">
      <w:pPr>
        <w:pStyle w:val="08BodyText"/>
        <w:spacing w:line="240" w:lineRule="auto"/>
        <w:ind w:firstLine="0"/>
        <w:jc w:val="both"/>
        <w:rPr>
          <w:color w:val="000000"/>
          <w:sz w:val="20"/>
        </w:rPr>
      </w:pPr>
    </w:p>
    <w:p w:rsidR="00570B16" w:rsidRPr="006D7B25" w:rsidRDefault="00366152" w:rsidP="00D50AD8">
      <w:pPr>
        <w:pStyle w:val="08BodyText"/>
        <w:spacing w:line="240" w:lineRule="auto"/>
        <w:ind w:firstLine="0"/>
        <w:jc w:val="both"/>
        <w:rPr>
          <w:sz w:val="20"/>
        </w:rPr>
      </w:pPr>
      <w:r w:rsidRPr="006D7B25">
        <w:rPr>
          <w:color w:val="000000"/>
          <w:sz w:val="20"/>
        </w:rPr>
        <w:t>The intervention method used in this study can be considered a form of peer-tutoring</w:t>
      </w:r>
      <w:r w:rsidR="00943206" w:rsidRPr="006D7B25">
        <w:rPr>
          <w:color w:val="000000"/>
          <w:sz w:val="20"/>
        </w:rPr>
        <w:t xml:space="preserve">, </w:t>
      </w:r>
      <w:r w:rsidRPr="006D7B25">
        <w:rPr>
          <w:color w:val="000000"/>
          <w:sz w:val="20"/>
        </w:rPr>
        <w:t xml:space="preserve">an instructional arrangement where peers deliver instructional material to other students (Stenhoff &amp; Lignugaris/Kraft, 2007). In their review of the effects of peer tutoring on secondary students with mild disabilities, Stenhoff and Lignugaris/Kraft </w:t>
      </w:r>
      <w:r w:rsidR="00943206" w:rsidRPr="006D7B25">
        <w:rPr>
          <w:color w:val="000000"/>
          <w:sz w:val="20"/>
        </w:rPr>
        <w:t xml:space="preserve">(2007) </w:t>
      </w:r>
      <w:r w:rsidRPr="006D7B25">
        <w:rPr>
          <w:color w:val="000000"/>
          <w:sz w:val="20"/>
        </w:rPr>
        <w:t xml:space="preserve">found support for peer-tutoring as evidence-based practice and found strong support for tutor training prior to the tutoring sessions. As the BRSS was implemented in the current study, peers were used as tutors and received thorough training in the OG-based method before and during its implementation. The lead researcher also monitored the peer-tutors during their sessions. Both these features reflect the evidence-based practice found to be effective in peer-tutoring in Stenhoff and Lignugaris/Kraft’s review of the literature. </w:t>
      </w:r>
      <w:r w:rsidR="00D261D2" w:rsidRPr="006D7B25">
        <w:rPr>
          <w:sz w:val="20"/>
        </w:rPr>
        <w:t xml:space="preserve">Specific </w:t>
      </w:r>
      <w:r w:rsidR="00570B16" w:rsidRPr="006D7B25">
        <w:rPr>
          <w:sz w:val="20"/>
        </w:rPr>
        <w:t xml:space="preserve">components of the BRSS may account for the better posttest scores that were seen among the students.  </w:t>
      </w:r>
      <w:r w:rsidR="00D261D2" w:rsidRPr="006D7B25">
        <w:rPr>
          <w:sz w:val="20"/>
        </w:rPr>
        <w:t>T</w:t>
      </w:r>
      <w:r w:rsidR="00570B16" w:rsidRPr="006D7B25">
        <w:rPr>
          <w:sz w:val="20"/>
        </w:rPr>
        <w:t xml:space="preserve">he BRSS consistently uses phonetically regular words and nonsense words </w:t>
      </w:r>
      <w:r w:rsidR="00D261D2" w:rsidRPr="006D7B25">
        <w:rPr>
          <w:sz w:val="20"/>
        </w:rPr>
        <w:t xml:space="preserve">that follow the rules of English </w:t>
      </w:r>
      <w:r w:rsidR="00570B16" w:rsidRPr="006D7B25">
        <w:rPr>
          <w:sz w:val="20"/>
        </w:rPr>
        <w:t xml:space="preserve">to teach each spelling rule.  The nonsense words follow the rules of English spelling, but are not real words.  For example, to teach a rule governing the spelling of the </w:t>
      </w:r>
      <w:r w:rsidR="00943206" w:rsidRPr="006D7B25">
        <w:rPr>
          <w:sz w:val="20"/>
        </w:rPr>
        <w:t>/</w:t>
      </w:r>
      <w:r w:rsidR="00570B16" w:rsidRPr="006D7B25">
        <w:rPr>
          <w:i/>
          <w:sz w:val="20"/>
        </w:rPr>
        <w:t>k</w:t>
      </w:r>
      <w:r w:rsidR="00943206" w:rsidRPr="006D7B25">
        <w:rPr>
          <w:sz w:val="20"/>
        </w:rPr>
        <w:t>/</w:t>
      </w:r>
      <w:r w:rsidR="00570B16" w:rsidRPr="006D7B25">
        <w:rPr>
          <w:sz w:val="20"/>
        </w:rPr>
        <w:t xml:space="preserve">sound </w:t>
      </w:r>
      <w:r w:rsidR="00943206" w:rsidRPr="006D7B25">
        <w:rPr>
          <w:sz w:val="20"/>
        </w:rPr>
        <w:t xml:space="preserve">as in </w:t>
      </w:r>
      <w:r w:rsidR="00213520" w:rsidRPr="00213520">
        <w:rPr>
          <w:i/>
          <w:sz w:val="20"/>
        </w:rPr>
        <w:t>cat</w:t>
      </w:r>
      <w:r w:rsidR="00943206" w:rsidRPr="006D7B25">
        <w:rPr>
          <w:sz w:val="20"/>
        </w:rPr>
        <w:t xml:space="preserve"> </w:t>
      </w:r>
      <w:r w:rsidR="00570B16" w:rsidRPr="006D7B25">
        <w:rPr>
          <w:sz w:val="20"/>
        </w:rPr>
        <w:t xml:space="preserve">(i.e., when to use </w:t>
      </w:r>
      <w:r w:rsidR="00943206" w:rsidRPr="006D7B25">
        <w:rPr>
          <w:sz w:val="20"/>
        </w:rPr>
        <w:t>/</w:t>
      </w:r>
      <w:r w:rsidR="00570B16" w:rsidRPr="006D7B25">
        <w:rPr>
          <w:i/>
          <w:sz w:val="20"/>
        </w:rPr>
        <w:t>ck</w:t>
      </w:r>
      <w:r w:rsidR="00943206" w:rsidRPr="006D7B25">
        <w:rPr>
          <w:i/>
          <w:sz w:val="20"/>
        </w:rPr>
        <w:t>/</w:t>
      </w:r>
      <w:r w:rsidR="00570B16" w:rsidRPr="006D7B25">
        <w:rPr>
          <w:sz w:val="20"/>
        </w:rPr>
        <w:t xml:space="preserve"> vs. </w:t>
      </w:r>
      <w:r w:rsidR="00570B16" w:rsidRPr="006D7B25">
        <w:rPr>
          <w:i/>
          <w:sz w:val="20"/>
        </w:rPr>
        <w:t>k</w:t>
      </w:r>
      <w:r w:rsidR="00570B16" w:rsidRPr="006D7B25">
        <w:rPr>
          <w:sz w:val="20"/>
        </w:rPr>
        <w:t xml:space="preserve">), the tutor instructed the students to practice the rule by reading regular and nonsense words and by spelling regular words.  </w:t>
      </w:r>
      <w:r w:rsidR="00D261D2" w:rsidRPr="006D7B25">
        <w:rPr>
          <w:sz w:val="20"/>
        </w:rPr>
        <w:t>W</w:t>
      </w:r>
      <w:r w:rsidR="00570B16" w:rsidRPr="006D7B25">
        <w:rPr>
          <w:sz w:val="20"/>
        </w:rPr>
        <w:t xml:space="preserve">hen the pretest and posttest scores were compared, </w:t>
      </w:r>
      <w:r w:rsidR="00D261D2" w:rsidRPr="006D7B25">
        <w:rPr>
          <w:sz w:val="20"/>
        </w:rPr>
        <w:t>the</w:t>
      </w:r>
      <w:r w:rsidR="00570B16" w:rsidRPr="006D7B25">
        <w:rPr>
          <w:sz w:val="20"/>
        </w:rPr>
        <w:t xml:space="preserve"> </w:t>
      </w:r>
      <w:r w:rsidR="00444984" w:rsidRPr="006D7B25">
        <w:rPr>
          <w:sz w:val="20"/>
        </w:rPr>
        <w:t>s</w:t>
      </w:r>
      <w:r w:rsidR="00570B16" w:rsidRPr="006D7B25">
        <w:rPr>
          <w:sz w:val="20"/>
        </w:rPr>
        <w:t xml:space="preserve">tudents had increases in their standard scores at posttest on the </w:t>
      </w:r>
      <w:r w:rsidR="00570B16" w:rsidRPr="006D7B25">
        <w:rPr>
          <w:i/>
          <w:sz w:val="20"/>
        </w:rPr>
        <w:t xml:space="preserve">Letter-Word Identification </w:t>
      </w:r>
      <w:r w:rsidR="00570B16" w:rsidRPr="006D7B25">
        <w:rPr>
          <w:sz w:val="20"/>
        </w:rPr>
        <w:t xml:space="preserve">(gain score of </w:t>
      </w:r>
      <w:r w:rsidR="00EA129C" w:rsidRPr="006D7B25">
        <w:rPr>
          <w:sz w:val="20"/>
        </w:rPr>
        <w:t>3.22</w:t>
      </w:r>
      <w:r w:rsidR="00570B16" w:rsidRPr="006D7B25">
        <w:rPr>
          <w:sz w:val="20"/>
        </w:rPr>
        <w:t>)</w:t>
      </w:r>
      <w:r w:rsidR="00570B16" w:rsidRPr="006D7B25">
        <w:rPr>
          <w:i/>
          <w:sz w:val="20"/>
        </w:rPr>
        <w:t xml:space="preserve"> </w:t>
      </w:r>
      <w:r w:rsidR="00570B16" w:rsidRPr="006D7B25">
        <w:rPr>
          <w:sz w:val="20"/>
        </w:rPr>
        <w:t xml:space="preserve">and </w:t>
      </w:r>
      <w:r w:rsidR="00570B16" w:rsidRPr="006D7B25">
        <w:rPr>
          <w:i/>
          <w:sz w:val="20"/>
        </w:rPr>
        <w:t>Word Attack</w:t>
      </w:r>
      <w:r w:rsidR="00570B16" w:rsidRPr="006D7B25">
        <w:rPr>
          <w:sz w:val="20"/>
        </w:rPr>
        <w:t xml:space="preserve"> (gain scores of 7.89) subtests of the WJ III</w:t>
      </w:r>
      <w:r w:rsidR="003E139F" w:rsidRPr="006D7B25">
        <w:rPr>
          <w:sz w:val="20"/>
        </w:rPr>
        <w:t xml:space="preserve"> </w:t>
      </w:r>
      <w:r w:rsidR="00D261D2" w:rsidRPr="006D7B25">
        <w:rPr>
          <w:sz w:val="20"/>
        </w:rPr>
        <w:t>ACH</w:t>
      </w:r>
      <w:r w:rsidR="00570B16" w:rsidRPr="006D7B25">
        <w:rPr>
          <w:sz w:val="20"/>
        </w:rPr>
        <w:t xml:space="preserve">.  The </w:t>
      </w:r>
      <w:r w:rsidR="00262C23" w:rsidRPr="006D7B25">
        <w:rPr>
          <w:i/>
          <w:sz w:val="20"/>
        </w:rPr>
        <w:t>Word Attack</w:t>
      </w:r>
      <w:r w:rsidR="007C1A93" w:rsidRPr="006D7B25">
        <w:rPr>
          <w:i/>
          <w:sz w:val="20"/>
        </w:rPr>
        <w:t xml:space="preserve"> </w:t>
      </w:r>
      <w:r w:rsidR="00570B16" w:rsidRPr="006D7B25">
        <w:rPr>
          <w:sz w:val="20"/>
        </w:rPr>
        <w:t xml:space="preserve">subtest requires students to read </w:t>
      </w:r>
      <w:r w:rsidR="00262C23" w:rsidRPr="006D7B25">
        <w:rPr>
          <w:sz w:val="20"/>
        </w:rPr>
        <w:t xml:space="preserve">nonsense </w:t>
      </w:r>
      <w:r w:rsidR="00570B16" w:rsidRPr="006D7B25">
        <w:rPr>
          <w:sz w:val="20"/>
        </w:rPr>
        <w:t xml:space="preserve">words that increase in difficulty.  It is likely that </w:t>
      </w:r>
      <w:r w:rsidR="00262C23" w:rsidRPr="006D7B25">
        <w:rPr>
          <w:sz w:val="20"/>
        </w:rPr>
        <w:t xml:space="preserve">students </w:t>
      </w:r>
      <w:r w:rsidR="00570B16" w:rsidRPr="006D7B25">
        <w:rPr>
          <w:sz w:val="20"/>
        </w:rPr>
        <w:t xml:space="preserve">had little practice in reading nonsense words at pretest.  However, because the BRSS routinely incorporates nonsense word reading into every lesson, the </w:t>
      </w:r>
      <w:r w:rsidR="00444984" w:rsidRPr="006D7B25">
        <w:rPr>
          <w:sz w:val="20"/>
        </w:rPr>
        <w:t>s</w:t>
      </w:r>
      <w:r w:rsidR="00570B16" w:rsidRPr="006D7B25">
        <w:rPr>
          <w:sz w:val="20"/>
        </w:rPr>
        <w:t xml:space="preserve">tudents were familiar with this practice </w:t>
      </w:r>
      <w:r w:rsidR="00E07734" w:rsidRPr="006D7B25">
        <w:rPr>
          <w:sz w:val="20"/>
        </w:rPr>
        <w:t xml:space="preserve">and successfully </w:t>
      </w:r>
      <w:r w:rsidR="00D261D2" w:rsidRPr="006D7B25">
        <w:rPr>
          <w:sz w:val="20"/>
        </w:rPr>
        <w:t xml:space="preserve">generalized their knowledge of this skill on the </w:t>
      </w:r>
      <w:r w:rsidR="00D261D2" w:rsidRPr="006D7B25">
        <w:rPr>
          <w:i/>
          <w:sz w:val="20"/>
        </w:rPr>
        <w:t>Word Attack</w:t>
      </w:r>
      <w:r w:rsidR="00D261D2" w:rsidRPr="006D7B25">
        <w:rPr>
          <w:sz w:val="20"/>
        </w:rPr>
        <w:t xml:space="preserve"> </w:t>
      </w:r>
      <w:r w:rsidR="00E07B89" w:rsidRPr="006D7B25">
        <w:rPr>
          <w:sz w:val="20"/>
        </w:rPr>
        <w:t xml:space="preserve">subtest at </w:t>
      </w:r>
      <w:r w:rsidR="00D261D2" w:rsidRPr="006D7B25">
        <w:rPr>
          <w:sz w:val="20"/>
        </w:rPr>
        <w:t>posttest</w:t>
      </w:r>
      <w:r w:rsidR="00E07B89" w:rsidRPr="006D7B25">
        <w:rPr>
          <w:sz w:val="20"/>
        </w:rPr>
        <w:t>ing</w:t>
      </w:r>
      <w:r w:rsidR="00D261D2" w:rsidRPr="006D7B25">
        <w:rPr>
          <w:sz w:val="20"/>
        </w:rPr>
        <w:t xml:space="preserve">. </w:t>
      </w:r>
    </w:p>
    <w:p w:rsidR="00D50AD8" w:rsidRDefault="00D50AD8" w:rsidP="00D50AD8">
      <w:pPr>
        <w:pStyle w:val="08BodyText"/>
        <w:spacing w:line="240" w:lineRule="auto"/>
        <w:ind w:firstLine="0"/>
        <w:jc w:val="both"/>
        <w:rPr>
          <w:sz w:val="20"/>
        </w:rPr>
      </w:pPr>
    </w:p>
    <w:p w:rsidR="00570B16" w:rsidRPr="006D7B25" w:rsidRDefault="00570B16" w:rsidP="00D50AD8">
      <w:pPr>
        <w:pStyle w:val="08BodyText"/>
        <w:spacing w:line="240" w:lineRule="auto"/>
        <w:ind w:firstLine="0"/>
        <w:jc w:val="both"/>
        <w:rPr>
          <w:sz w:val="20"/>
        </w:rPr>
      </w:pPr>
      <w:r w:rsidRPr="006D7B25">
        <w:rPr>
          <w:sz w:val="20"/>
        </w:rPr>
        <w:t xml:space="preserve">Similarly, </w:t>
      </w:r>
      <w:r w:rsidR="00444984" w:rsidRPr="006D7B25">
        <w:rPr>
          <w:sz w:val="20"/>
        </w:rPr>
        <w:t xml:space="preserve">the </w:t>
      </w:r>
      <w:r w:rsidRPr="006D7B25">
        <w:rPr>
          <w:sz w:val="20"/>
        </w:rPr>
        <w:t xml:space="preserve">students’ improvement on the </w:t>
      </w:r>
      <w:r w:rsidRPr="006D7B25">
        <w:rPr>
          <w:i/>
          <w:sz w:val="20"/>
        </w:rPr>
        <w:t>Spelling</w:t>
      </w:r>
      <w:r w:rsidRPr="006D7B25">
        <w:rPr>
          <w:sz w:val="20"/>
        </w:rPr>
        <w:t xml:space="preserve"> subtest of the WJ III-</w:t>
      </w:r>
      <w:r w:rsidR="00D261D2" w:rsidRPr="006D7B25">
        <w:rPr>
          <w:sz w:val="20"/>
        </w:rPr>
        <w:t xml:space="preserve">ACH </w:t>
      </w:r>
      <w:r w:rsidR="00DA6E2C" w:rsidRPr="006D7B25">
        <w:rPr>
          <w:sz w:val="20"/>
        </w:rPr>
        <w:t>(effect size = .5</w:t>
      </w:r>
      <w:r w:rsidR="00EA129C" w:rsidRPr="006D7B25">
        <w:rPr>
          <w:sz w:val="20"/>
        </w:rPr>
        <w:t>3</w:t>
      </w:r>
      <w:r w:rsidR="00DA6E2C" w:rsidRPr="006D7B25">
        <w:rPr>
          <w:sz w:val="20"/>
        </w:rPr>
        <w:t xml:space="preserve">) </w:t>
      </w:r>
      <w:r w:rsidRPr="006D7B25">
        <w:rPr>
          <w:sz w:val="20"/>
        </w:rPr>
        <w:t>can be attributed to the emphasis on phonics and practice in spelling that they received</w:t>
      </w:r>
      <w:r w:rsidR="00EA129C" w:rsidRPr="006D7B25">
        <w:rPr>
          <w:sz w:val="20"/>
        </w:rPr>
        <w:t>.</w:t>
      </w:r>
      <w:r w:rsidRPr="006D7B25">
        <w:rPr>
          <w:sz w:val="20"/>
        </w:rPr>
        <w:t xml:space="preserve">  Students attending the charter school do not take spelling tests routinely nor </w:t>
      </w:r>
      <w:r w:rsidR="00D261D2" w:rsidRPr="006D7B25">
        <w:rPr>
          <w:sz w:val="20"/>
        </w:rPr>
        <w:t xml:space="preserve">did </w:t>
      </w:r>
      <w:r w:rsidRPr="006D7B25">
        <w:rPr>
          <w:sz w:val="20"/>
        </w:rPr>
        <w:t xml:space="preserve">their classroom teachers regularly correct their spelling errors during daily work.  </w:t>
      </w:r>
      <w:r w:rsidR="00D261D2" w:rsidRPr="006D7B25">
        <w:rPr>
          <w:sz w:val="20"/>
        </w:rPr>
        <w:t>T</w:t>
      </w:r>
      <w:r w:rsidRPr="006D7B25">
        <w:rPr>
          <w:sz w:val="20"/>
        </w:rPr>
        <w:t xml:space="preserve">he </w:t>
      </w:r>
      <w:r w:rsidR="00444984" w:rsidRPr="006D7B25">
        <w:rPr>
          <w:sz w:val="20"/>
        </w:rPr>
        <w:t>s</w:t>
      </w:r>
      <w:r w:rsidRPr="006D7B25">
        <w:rPr>
          <w:sz w:val="20"/>
        </w:rPr>
        <w:t xml:space="preserve">tudents practiced spelling words at every training session, and the tutors used a guided discovery process to help the students detect any spelling errors. </w:t>
      </w:r>
    </w:p>
    <w:p w:rsidR="00D50AD8" w:rsidRDefault="00D50AD8" w:rsidP="00D50AD8">
      <w:pPr>
        <w:pStyle w:val="08BodyText"/>
        <w:spacing w:line="240" w:lineRule="auto"/>
        <w:ind w:firstLine="0"/>
        <w:jc w:val="both"/>
        <w:rPr>
          <w:sz w:val="20"/>
        </w:rPr>
      </w:pPr>
    </w:p>
    <w:p w:rsidR="00570B16" w:rsidRPr="006D7B25" w:rsidRDefault="00570B16" w:rsidP="00D50AD8">
      <w:pPr>
        <w:pStyle w:val="08BodyText"/>
        <w:spacing w:line="240" w:lineRule="auto"/>
        <w:ind w:firstLine="0"/>
        <w:jc w:val="both"/>
        <w:rPr>
          <w:sz w:val="20"/>
        </w:rPr>
      </w:pPr>
      <w:r w:rsidRPr="006D7B25">
        <w:rPr>
          <w:sz w:val="20"/>
        </w:rPr>
        <w:t>A final component of the BRSS that might have influenced the students’ posttest improvement is consistent practice in reading and spelling sight words</w:t>
      </w:r>
      <w:r w:rsidR="00D261D2" w:rsidRPr="006D7B25">
        <w:rPr>
          <w:sz w:val="20"/>
        </w:rPr>
        <w:t xml:space="preserve">, </w:t>
      </w:r>
      <w:r w:rsidRPr="006D7B25">
        <w:rPr>
          <w:sz w:val="20"/>
        </w:rPr>
        <w:t xml:space="preserve">irregular words that do not follow patterns and cannot be sounded out (Shaywitz, 2003).  </w:t>
      </w:r>
      <w:r w:rsidR="00E127DA" w:rsidRPr="006D7B25">
        <w:rPr>
          <w:sz w:val="20"/>
        </w:rPr>
        <w:t>S</w:t>
      </w:r>
      <w:r w:rsidRPr="006D7B25">
        <w:rPr>
          <w:sz w:val="20"/>
        </w:rPr>
        <w:t xml:space="preserve">tudents with reading disabilities often have great difficulty reading and spelling sight </w:t>
      </w:r>
      <w:r w:rsidR="00E127DA" w:rsidRPr="006D7B25">
        <w:rPr>
          <w:sz w:val="20"/>
        </w:rPr>
        <w:t>words. A</w:t>
      </w:r>
      <w:r w:rsidRPr="006D7B25">
        <w:rPr>
          <w:sz w:val="20"/>
        </w:rPr>
        <w:t xml:space="preserve"> common way to practice reading sight words more quickly and efficiently is to read the words on flash cards until they are </w:t>
      </w:r>
      <w:r w:rsidR="00E127DA" w:rsidRPr="006D7B25">
        <w:rPr>
          <w:sz w:val="20"/>
        </w:rPr>
        <w:t xml:space="preserve">recognized quickly and effortlessly. </w:t>
      </w:r>
      <w:r w:rsidRPr="006D7B25">
        <w:rPr>
          <w:sz w:val="20"/>
        </w:rPr>
        <w:t>That method is used in the BRSS but coupled with visualization and tactile-kinesthetic tracing exercise</w:t>
      </w:r>
      <w:r w:rsidR="00E127DA" w:rsidRPr="006D7B25">
        <w:rPr>
          <w:sz w:val="20"/>
        </w:rPr>
        <w:t>s</w:t>
      </w:r>
      <w:r w:rsidRPr="006D7B25">
        <w:rPr>
          <w:sz w:val="20"/>
        </w:rPr>
        <w:t xml:space="preserve"> on sight words that are consistently misread or misspelled. Although </w:t>
      </w:r>
      <w:r w:rsidR="003D4DEF" w:rsidRPr="006D7B25">
        <w:rPr>
          <w:sz w:val="20"/>
        </w:rPr>
        <w:t xml:space="preserve">the </w:t>
      </w:r>
      <w:r w:rsidRPr="006D7B25">
        <w:rPr>
          <w:sz w:val="20"/>
        </w:rPr>
        <w:t xml:space="preserve">students </w:t>
      </w:r>
      <w:r w:rsidR="00DA6E2C" w:rsidRPr="006D7B25">
        <w:rPr>
          <w:sz w:val="20"/>
        </w:rPr>
        <w:t>made modest gains in this skill (effect size = .</w:t>
      </w:r>
      <w:r w:rsidR="00EA129C" w:rsidRPr="006D7B25">
        <w:rPr>
          <w:sz w:val="20"/>
        </w:rPr>
        <w:t>34</w:t>
      </w:r>
      <w:r w:rsidR="00DA6E2C" w:rsidRPr="006D7B25">
        <w:rPr>
          <w:sz w:val="20"/>
        </w:rPr>
        <w:t>)</w:t>
      </w:r>
      <w:r w:rsidRPr="006D7B25">
        <w:rPr>
          <w:sz w:val="20"/>
        </w:rPr>
        <w:t xml:space="preserve">, </w:t>
      </w:r>
      <w:r w:rsidR="00262C23" w:rsidRPr="006D7B25">
        <w:rPr>
          <w:sz w:val="20"/>
        </w:rPr>
        <w:t xml:space="preserve">it </w:t>
      </w:r>
      <w:r w:rsidRPr="006D7B25">
        <w:rPr>
          <w:sz w:val="20"/>
        </w:rPr>
        <w:t>is unlikely that many older students with reading disabilities work on their ability to read sight words efficiently on their own accord</w:t>
      </w:r>
      <w:r w:rsidR="002E4354" w:rsidRPr="006D7B25">
        <w:rPr>
          <w:sz w:val="20"/>
        </w:rPr>
        <w:t xml:space="preserve"> so this gain is important</w:t>
      </w:r>
      <w:r w:rsidRPr="006D7B25">
        <w:rPr>
          <w:sz w:val="20"/>
        </w:rPr>
        <w:t xml:space="preserve">.  </w:t>
      </w:r>
    </w:p>
    <w:p w:rsidR="005E6C3C" w:rsidRDefault="005E6C3C" w:rsidP="006D7B25">
      <w:pPr>
        <w:pStyle w:val="02First-LevelSubheadingBOLD"/>
        <w:spacing w:after="0"/>
        <w:jc w:val="both"/>
        <w:rPr>
          <w:b w:val="0"/>
          <w:sz w:val="20"/>
          <w:szCs w:val="20"/>
        </w:rPr>
      </w:pPr>
      <w:bookmarkStart w:id="3" w:name="_Toc101595342"/>
    </w:p>
    <w:p w:rsidR="00570B16" w:rsidRPr="00892E75" w:rsidRDefault="00570B16" w:rsidP="006D7B25">
      <w:pPr>
        <w:pStyle w:val="02First-LevelSubheadingBOLD"/>
        <w:spacing w:after="0"/>
        <w:jc w:val="both"/>
        <w:rPr>
          <w:b w:val="0"/>
          <w:i/>
          <w:sz w:val="20"/>
          <w:szCs w:val="20"/>
        </w:rPr>
      </w:pPr>
      <w:r w:rsidRPr="00892E75">
        <w:rPr>
          <w:b w:val="0"/>
          <w:i/>
          <w:sz w:val="20"/>
          <w:szCs w:val="20"/>
        </w:rPr>
        <w:t>Clinical Implications</w:t>
      </w:r>
      <w:bookmarkEnd w:id="3"/>
    </w:p>
    <w:p w:rsidR="007F40D4" w:rsidRPr="006D7B25" w:rsidRDefault="007F40D4" w:rsidP="00D50AD8">
      <w:pPr>
        <w:autoSpaceDE w:val="0"/>
        <w:autoSpaceDN w:val="0"/>
        <w:adjustRightInd w:val="0"/>
        <w:jc w:val="both"/>
        <w:rPr>
          <w:sz w:val="20"/>
          <w:szCs w:val="20"/>
        </w:rPr>
      </w:pPr>
      <w:r w:rsidRPr="006D7B25">
        <w:rPr>
          <w:sz w:val="20"/>
          <w:szCs w:val="20"/>
        </w:rPr>
        <w:t>The demands placed on adolescents to read and write fluently at advanced levels increases with curricular demands in the upper grades (Ehren, 2009; Lenz, Ehren, &amp; Deshler, 2005</w:t>
      </w:r>
      <w:r w:rsidR="00BD36F3" w:rsidRPr="006D7B25">
        <w:rPr>
          <w:sz w:val="20"/>
          <w:szCs w:val="20"/>
        </w:rPr>
        <w:t>;</w:t>
      </w:r>
      <w:r w:rsidRPr="006D7B25">
        <w:rPr>
          <w:sz w:val="20"/>
          <w:szCs w:val="20"/>
        </w:rPr>
        <w:t xml:space="preserve"> Roberts, Torgesen, Boardman, &amp; Scammacca, 2008).  Snow an</w:t>
      </w:r>
      <w:r w:rsidR="00213520">
        <w:rPr>
          <w:sz w:val="20"/>
          <w:szCs w:val="20"/>
        </w:rPr>
        <w:t xml:space="preserve">d Biancarosa (2003) noted that </w:t>
      </w:r>
      <w:r w:rsidR="00192955" w:rsidRPr="00213520">
        <w:rPr>
          <w:i/>
          <w:sz w:val="20"/>
          <w:szCs w:val="20"/>
        </w:rPr>
        <w:t>s</w:t>
      </w:r>
      <w:r w:rsidRPr="00213520">
        <w:rPr>
          <w:i/>
          <w:sz w:val="20"/>
          <w:szCs w:val="20"/>
        </w:rPr>
        <w:t>tudents are expected to read and write across a wide variety of disciplines, genres, and materials with increasing skill, flexibility, and insight</w:t>
      </w:r>
      <w:r w:rsidRPr="006D7B25">
        <w:rPr>
          <w:sz w:val="20"/>
          <w:szCs w:val="20"/>
        </w:rPr>
        <w:t xml:space="preserve"> (</w:t>
      </w:r>
      <w:r w:rsidRPr="006D7B25">
        <w:rPr>
          <w:bCs/>
          <w:sz w:val="20"/>
          <w:szCs w:val="20"/>
        </w:rPr>
        <w:t xml:space="preserve">p. 5).  In other words, students are </w:t>
      </w:r>
      <w:r w:rsidRPr="006D7B25">
        <w:rPr>
          <w:sz w:val="20"/>
          <w:szCs w:val="20"/>
        </w:rPr>
        <w:t xml:space="preserve">required to recognize words fluently, expand their vocabulary and knowledge, think critically and broadly, and comprehend content that is abstract and removed from previous literacy experiences (Bryant, 2003; Chall &amp; Jacobs, 2003; Smith &amp; Feathers, 1983).  Consequently, adolescents who are unable to successfully perform these operations are more likely to have difficulty processing information in texts (Archer et al., 2003; Grigg, Daane, Ying, &amp; Campbell, 2003; Larson &amp; McKinley, 1995) and producing a variety of written genres (Larson &amp; McKinley, 1995; Persky, </w:t>
      </w:r>
      <w:r w:rsidR="00E80611" w:rsidRPr="006D7B25">
        <w:rPr>
          <w:sz w:val="20"/>
          <w:szCs w:val="20"/>
        </w:rPr>
        <w:t>Daane</w:t>
      </w:r>
      <w:r w:rsidRPr="006D7B25">
        <w:rPr>
          <w:sz w:val="20"/>
          <w:szCs w:val="20"/>
        </w:rPr>
        <w:t>, &amp; Jin, 2003).  They are also more likely to exhibit higher rates of negative attitudes towards reading in later school years (Lyon, 1997; Stanovich, 1986), low self-esteem (Wagner, Blackorby, &amp; Hebbeler, 1993), school discipline problems (Aaron &amp; Baker, 1991), school dropout (Snow, Burns, &amp; Griffin, 1998; Wagner, 2000), and future unemployment (Lyon, 1997).</w:t>
      </w:r>
    </w:p>
    <w:p w:rsidR="00D50AD8" w:rsidRDefault="00D50AD8" w:rsidP="00D50AD8">
      <w:pPr>
        <w:pStyle w:val="08BodyText"/>
        <w:spacing w:line="240" w:lineRule="auto"/>
        <w:ind w:firstLine="0"/>
        <w:jc w:val="both"/>
        <w:rPr>
          <w:sz w:val="20"/>
        </w:rPr>
      </w:pPr>
    </w:p>
    <w:p w:rsidR="00570B16" w:rsidRPr="006D7B25" w:rsidRDefault="002E4354" w:rsidP="00D50AD8">
      <w:pPr>
        <w:pStyle w:val="08BodyText"/>
        <w:spacing w:line="240" w:lineRule="auto"/>
        <w:ind w:firstLine="0"/>
        <w:jc w:val="both"/>
        <w:rPr>
          <w:sz w:val="20"/>
        </w:rPr>
      </w:pPr>
      <w:r w:rsidRPr="006D7B25">
        <w:rPr>
          <w:sz w:val="20"/>
        </w:rPr>
        <w:t xml:space="preserve">Although this study did not address higher order written language skills of comprehension and composition, it did address the lower level written language skills that serve as a foundation for higher order skills. Students who struggle to decode words do not read fluently. </w:t>
      </w:r>
      <w:r w:rsidR="005D5ECF" w:rsidRPr="006D7B25">
        <w:rPr>
          <w:sz w:val="20"/>
        </w:rPr>
        <w:t xml:space="preserve">When students devote mental energy to figure out the words in the text, they sacrifice attention to comprehending the text. </w:t>
      </w:r>
      <w:r w:rsidRPr="006D7B25">
        <w:rPr>
          <w:sz w:val="20"/>
        </w:rPr>
        <w:t xml:space="preserve"> </w:t>
      </w:r>
      <w:r w:rsidR="00570B16" w:rsidRPr="006D7B25">
        <w:rPr>
          <w:sz w:val="20"/>
        </w:rPr>
        <w:t xml:space="preserve">Older students with reading disabilities have experienced many years of frustration and failure with reading.  Thus, clinicians interested in helping such students face a difficult task on two fronts.  First, </w:t>
      </w:r>
      <w:r w:rsidR="0049524B" w:rsidRPr="006D7B25">
        <w:rPr>
          <w:sz w:val="20"/>
        </w:rPr>
        <w:t xml:space="preserve">teachers and </w:t>
      </w:r>
      <w:r w:rsidR="00570B16" w:rsidRPr="006D7B25">
        <w:rPr>
          <w:sz w:val="20"/>
        </w:rPr>
        <w:t xml:space="preserve">clinicians will likely be met with </w:t>
      </w:r>
      <w:r w:rsidR="0049524B" w:rsidRPr="006D7B25">
        <w:rPr>
          <w:sz w:val="20"/>
        </w:rPr>
        <w:t xml:space="preserve">some students who are </w:t>
      </w:r>
      <w:r w:rsidR="005D5ECF" w:rsidRPr="006D7B25">
        <w:rPr>
          <w:sz w:val="20"/>
        </w:rPr>
        <w:t xml:space="preserve">not </w:t>
      </w:r>
      <w:r w:rsidR="00570B16" w:rsidRPr="006D7B25">
        <w:rPr>
          <w:sz w:val="20"/>
        </w:rPr>
        <w:t>motivated to practice reading and spelling and who ha</w:t>
      </w:r>
      <w:r w:rsidR="005D5ECF" w:rsidRPr="006D7B25">
        <w:rPr>
          <w:sz w:val="20"/>
        </w:rPr>
        <w:t>ve</w:t>
      </w:r>
      <w:r w:rsidR="00570B16" w:rsidRPr="006D7B25">
        <w:rPr>
          <w:sz w:val="20"/>
        </w:rPr>
        <w:t xml:space="preserve"> a negative attitude about reading in general and treatment in particular.  </w:t>
      </w:r>
      <w:r w:rsidR="005D5ECF" w:rsidRPr="006D7B25">
        <w:rPr>
          <w:sz w:val="20"/>
        </w:rPr>
        <w:t xml:space="preserve">Several of the students in this study had this attitude. </w:t>
      </w:r>
      <w:r w:rsidR="00570B16" w:rsidRPr="006D7B25">
        <w:rPr>
          <w:sz w:val="20"/>
        </w:rPr>
        <w:t xml:space="preserve">Second, older students with reading disability need to work with material that is interesting and age-appropriate in content.  In fact, some of the </w:t>
      </w:r>
      <w:r w:rsidR="003D4DEF" w:rsidRPr="006D7B25">
        <w:rPr>
          <w:sz w:val="20"/>
        </w:rPr>
        <w:t xml:space="preserve">students </w:t>
      </w:r>
      <w:r w:rsidR="00570B16" w:rsidRPr="006D7B25">
        <w:rPr>
          <w:sz w:val="20"/>
        </w:rPr>
        <w:t xml:space="preserve">in this study expressed that the BRSS materials were childlike.  Packaged reading instructional programs, such as the BRSS, are meant to appeal to a wide range of ages, but this is frequently a hard goal to meet </w:t>
      </w:r>
      <w:r w:rsidR="0049524B" w:rsidRPr="006D7B25">
        <w:rPr>
          <w:sz w:val="20"/>
        </w:rPr>
        <w:t xml:space="preserve">when practicing foundational skills such as phonics. </w:t>
      </w:r>
      <w:r w:rsidR="00570B16" w:rsidRPr="006D7B25">
        <w:rPr>
          <w:sz w:val="20"/>
        </w:rPr>
        <w:t>In many situations, it is necessary to individualize the intervention so that older students will be more motivated to become involved in the program, with the recognition that are no instant fixes (</w:t>
      </w:r>
      <w:r w:rsidR="00570B16" w:rsidRPr="006D7B25">
        <w:rPr>
          <w:color w:val="000000"/>
          <w:sz w:val="20"/>
        </w:rPr>
        <w:t>O’Connor &amp; Bell, 2006).</w:t>
      </w:r>
      <w:r w:rsidR="00570B16" w:rsidRPr="006D7B25">
        <w:rPr>
          <w:sz w:val="20"/>
        </w:rPr>
        <w:t xml:space="preserve"> </w:t>
      </w:r>
    </w:p>
    <w:p w:rsidR="00D50AD8" w:rsidRDefault="00D50AD8" w:rsidP="00D50AD8">
      <w:pPr>
        <w:pStyle w:val="08BodyText"/>
        <w:spacing w:line="240" w:lineRule="auto"/>
        <w:ind w:firstLine="0"/>
        <w:jc w:val="both"/>
        <w:rPr>
          <w:sz w:val="20"/>
        </w:rPr>
      </w:pPr>
    </w:p>
    <w:p w:rsidR="007313D6" w:rsidRPr="006D7B25" w:rsidRDefault="00570B16" w:rsidP="00D50AD8">
      <w:pPr>
        <w:pStyle w:val="08BodyText"/>
        <w:spacing w:line="240" w:lineRule="auto"/>
        <w:ind w:firstLine="0"/>
        <w:jc w:val="both"/>
        <w:rPr>
          <w:sz w:val="20"/>
        </w:rPr>
      </w:pPr>
      <w:r w:rsidRPr="006D7B25">
        <w:rPr>
          <w:sz w:val="20"/>
        </w:rPr>
        <w:t xml:space="preserve">Although remedial reading programs are not meant to be a student’s main source of reading instruction, such programs will have </w:t>
      </w:r>
      <w:r w:rsidR="0049524B" w:rsidRPr="006D7B25">
        <w:rPr>
          <w:sz w:val="20"/>
        </w:rPr>
        <w:t xml:space="preserve">a </w:t>
      </w:r>
      <w:r w:rsidRPr="006D7B25">
        <w:rPr>
          <w:sz w:val="20"/>
        </w:rPr>
        <w:t xml:space="preserve">greater impact if they are broad in scope.  </w:t>
      </w:r>
      <w:r w:rsidR="00D0120F" w:rsidRPr="006D7B25">
        <w:rPr>
          <w:sz w:val="20"/>
        </w:rPr>
        <w:t xml:space="preserve">They </w:t>
      </w:r>
      <w:r w:rsidR="00A17E49" w:rsidRPr="006D7B25">
        <w:rPr>
          <w:sz w:val="20"/>
        </w:rPr>
        <w:t xml:space="preserve">should be sufficiently broad to address many key components of reading. Important components of reading instruction should include </w:t>
      </w:r>
      <w:r w:rsidRPr="006D7B25">
        <w:rPr>
          <w:sz w:val="20"/>
        </w:rPr>
        <w:t>word recognition (Curtis, 2002;</w:t>
      </w:r>
      <w:r w:rsidRPr="006D7B25">
        <w:rPr>
          <w:color w:val="000000"/>
          <w:sz w:val="20"/>
        </w:rPr>
        <w:t xml:space="preserve"> Lenz &amp; Hughes, 1990</w:t>
      </w:r>
      <w:r w:rsidRPr="006D7B25">
        <w:rPr>
          <w:sz w:val="20"/>
        </w:rPr>
        <w:t>), vocabulary expansion and analysis (Al</w:t>
      </w:r>
      <w:r w:rsidR="00034F4E" w:rsidRPr="006D7B25">
        <w:rPr>
          <w:sz w:val="20"/>
        </w:rPr>
        <w:t>v</w:t>
      </w:r>
      <w:r w:rsidRPr="006D7B25">
        <w:rPr>
          <w:sz w:val="20"/>
        </w:rPr>
        <w:t>erman</w:t>
      </w:r>
      <w:r w:rsidR="00034F4E" w:rsidRPr="006D7B25">
        <w:rPr>
          <w:sz w:val="20"/>
        </w:rPr>
        <w:t>n</w:t>
      </w:r>
      <w:r w:rsidRPr="006D7B25">
        <w:rPr>
          <w:sz w:val="20"/>
        </w:rPr>
        <w:t>, 2001), conceptual knowledge development and expansion (</w:t>
      </w:r>
      <w:r w:rsidRPr="006D7B25">
        <w:rPr>
          <w:rFonts w:eastAsia="Times New Roman"/>
          <w:sz w:val="20"/>
        </w:rPr>
        <w:t xml:space="preserve">Guthrie &amp; Wigfield, 2000), </w:t>
      </w:r>
      <w:r w:rsidR="00A17E49" w:rsidRPr="006D7B25">
        <w:rPr>
          <w:rFonts w:eastAsia="Times New Roman"/>
          <w:sz w:val="20"/>
        </w:rPr>
        <w:t xml:space="preserve"> </w:t>
      </w:r>
      <w:r w:rsidRPr="006D7B25">
        <w:rPr>
          <w:sz w:val="20"/>
        </w:rPr>
        <w:t>reading fluency</w:t>
      </w:r>
      <w:r w:rsidR="001C1B62" w:rsidRPr="006D7B25">
        <w:rPr>
          <w:sz w:val="20"/>
        </w:rPr>
        <w:t xml:space="preserve"> </w:t>
      </w:r>
      <w:r w:rsidR="00A17E49" w:rsidRPr="006D7B25">
        <w:rPr>
          <w:sz w:val="20"/>
        </w:rPr>
        <w:t xml:space="preserve">and comprehension across varied texts </w:t>
      </w:r>
      <w:r w:rsidRPr="006D7B25">
        <w:rPr>
          <w:sz w:val="20"/>
        </w:rPr>
        <w:t>(Chall, 1996</w:t>
      </w:r>
      <w:r w:rsidR="00A17E49" w:rsidRPr="006D7B25">
        <w:rPr>
          <w:sz w:val="20"/>
        </w:rPr>
        <w:t>; Ehren et al., 2006; Vaughn, Klingner, &amp; Bryant, 2001)</w:t>
      </w:r>
      <w:r w:rsidRPr="006D7B25">
        <w:rPr>
          <w:sz w:val="20"/>
        </w:rPr>
        <w:t xml:space="preserve">, </w:t>
      </w:r>
      <w:r w:rsidR="00A17E49" w:rsidRPr="006D7B25">
        <w:rPr>
          <w:sz w:val="20"/>
        </w:rPr>
        <w:t xml:space="preserve">integration of </w:t>
      </w:r>
      <w:r w:rsidRPr="006D7B25">
        <w:rPr>
          <w:rFonts w:eastAsia="Times New Roman"/>
          <w:sz w:val="20"/>
        </w:rPr>
        <w:t>reading and writing (Alvermann, 2001; Tierney &amp; Shanahan, 1991), self-efficacy and goal setting (Guthrie &amp; Wigfield, 2000), and peer-led discussions and journal writing (Alvermann, 2001).</w:t>
      </w:r>
      <w:r w:rsidRPr="006D7B25">
        <w:rPr>
          <w:sz w:val="20"/>
        </w:rPr>
        <w:t xml:space="preserve"> </w:t>
      </w:r>
      <w:r w:rsidR="007313D6" w:rsidRPr="006D7B25">
        <w:rPr>
          <w:sz w:val="20"/>
        </w:rPr>
        <w:t xml:space="preserve"> </w:t>
      </w:r>
      <w:r w:rsidRPr="006D7B25">
        <w:rPr>
          <w:sz w:val="20"/>
        </w:rPr>
        <w:t>The gains shown in this study underscore that (1) it is never too late to help the struggling read</w:t>
      </w:r>
      <w:r w:rsidR="002C29E1" w:rsidRPr="006D7B25">
        <w:rPr>
          <w:sz w:val="20"/>
        </w:rPr>
        <w:t xml:space="preserve">er </w:t>
      </w:r>
      <w:r w:rsidRPr="006D7B25">
        <w:rPr>
          <w:sz w:val="20"/>
        </w:rPr>
        <w:t>improve his reading skills and (2) the</w:t>
      </w:r>
      <w:r w:rsidR="0049524B" w:rsidRPr="006D7B25">
        <w:rPr>
          <w:sz w:val="20"/>
        </w:rPr>
        <w:t xml:space="preserve"> need for </w:t>
      </w:r>
      <w:r w:rsidRPr="006D7B25">
        <w:rPr>
          <w:sz w:val="20"/>
        </w:rPr>
        <w:t xml:space="preserve">a national effort </w:t>
      </w:r>
      <w:r w:rsidR="0049524B" w:rsidRPr="006D7B25">
        <w:rPr>
          <w:sz w:val="20"/>
        </w:rPr>
        <w:t xml:space="preserve">to </w:t>
      </w:r>
      <w:r w:rsidRPr="006D7B25">
        <w:rPr>
          <w:sz w:val="20"/>
        </w:rPr>
        <w:t xml:space="preserve">address the needs of older students who struggle with reading. </w:t>
      </w:r>
    </w:p>
    <w:p w:rsidR="00A25374" w:rsidRDefault="00A25374" w:rsidP="006D7B25">
      <w:pPr>
        <w:pStyle w:val="02First-LevelSubheadingBOLD"/>
        <w:spacing w:after="0"/>
        <w:jc w:val="both"/>
        <w:rPr>
          <w:b w:val="0"/>
          <w:i/>
          <w:sz w:val="20"/>
          <w:szCs w:val="20"/>
        </w:rPr>
      </w:pPr>
    </w:p>
    <w:p w:rsidR="00570B16" w:rsidRPr="00892E75" w:rsidRDefault="00DB797C" w:rsidP="006D7B25">
      <w:pPr>
        <w:pStyle w:val="02First-LevelSubheadingBOLD"/>
        <w:spacing w:after="0"/>
        <w:jc w:val="both"/>
        <w:rPr>
          <w:b w:val="0"/>
          <w:i/>
          <w:sz w:val="20"/>
          <w:szCs w:val="20"/>
        </w:rPr>
      </w:pPr>
      <w:r w:rsidRPr="00892E75">
        <w:rPr>
          <w:b w:val="0"/>
          <w:i/>
          <w:sz w:val="20"/>
          <w:szCs w:val="20"/>
        </w:rPr>
        <w:t>Future Directions</w:t>
      </w:r>
    </w:p>
    <w:p w:rsidR="00CC6408" w:rsidRPr="006D7B25" w:rsidRDefault="00570B16" w:rsidP="00D50AD8">
      <w:pPr>
        <w:pStyle w:val="08BodyText"/>
        <w:spacing w:line="240" w:lineRule="auto"/>
        <w:ind w:firstLine="0"/>
        <w:jc w:val="both"/>
        <w:rPr>
          <w:sz w:val="20"/>
        </w:rPr>
      </w:pPr>
      <w:r w:rsidRPr="006D7B25">
        <w:rPr>
          <w:sz w:val="20"/>
        </w:rPr>
        <w:t>Alexander and Slinger-Constant (2004) noted that many of the studies supporting multisensory education are quasi-experimental in design and lacking in either comparison groups or randomly assigned groups.  In addition, many multisensory remedial reading programs are carried out in schools and must operate under the confines of the educational system.  Lack of resources in time, money, and personnel contribute to studies that use small sample sizes and are of short duration.  These factors combine to produce findings that cannot be generalized to larger populations.  This study was bound by similar constraints</w:t>
      </w:r>
      <w:r w:rsidR="00CC6408" w:rsidRPr="006D7B25">
        <w:rPr>
          <w:sz w:val="20"/>
        </w:rPr>
        <w:t>. However</w:t>
      </w:r>
      <w:r w:rsidR="003D4DEF" w:rsidRPr="006D7B25">
        <w:rPr>
          <w:sz w:val="20"/>
        </w:rPr>
        <w:t>,</w:t>
      </w:r>
      <w:r w:rsidR="00CC6408" w:rsidRPr="006D7B25">
        <w:rPr>
          <w:sz w:val="20"/>
        </w:rPr>
        <w:t xml:space="preserve"> based on Stenhoff and Lignugaris/Kraft (2007) review of the literature on the effectiveness of peer tutoring and</w:t>
      </w:r>
      <w:r w:rsidR="007F7B83" w:rsidRPr="006D7B25">
        <w:rPr>
          <w:sz w:val="20"/>
        </w:rPr>
        <w:t xml:space="preserve"> </w:t>
      </w:r>
      <w:r w:rsidR="00CC6408" w:rsidRPr="006D7B25">
        <w:rPr>
          <w:sz w:val="20"/>
        </w:rPr>
        <w:t>on Apel and Swank</w:t>
      </w:r>
      <w:r w:rsidR="00402170" w:rsidRPr="006D7B25">
        <w:rPr>
          <w:sz w:val="20"/>
        </w:rPr>
        <w:t>’</w:t>
      </w:r>
      <w:r w:rsidR="00CC6408" w:rsidRPr="006D7B25">
        <w:rPr>
          <w:sz w:val="20"/>
        </w:rPr>
        <w:t xml:space="preserve">s (1999) successful phonological intervention with an older student, there is every reason to believe that the OG-based program featured in this current study offers a viable intervention method for older students who struggle with reading disability.   </w:t>
      </w:r>
    </w:p>
    <w:p w:rsidR="00D50AD8" w:rsidRDefault="00D50AD8" w:rsidP="00D50AD8">
      <w:pPr>
        <w:pStyle w:val="08BodyText"/>
        <w:spacing w:line="240" w:lineRule="auto"/>
        <w:ind w:firstLine="0"/>
        <w:jc w:val="both"/>
        <w:rPr>
          <w:sz w:val="20"/>
        </w:rPr>
      </w:pPr>
    </w:p>
    <w:p w:rsidR="00CC6408" w:rsidRPr="006D7B25" w:rsidRDefault="00CC6408" w:rsidP="00D50AD8">
      <w:pPr>
        <w:pStyle w:val="08BodyText"/>
        <w:spacing w:line="240" w:lineRule="auto"/>
        <w:ind w:firstLine="0"/>
        <w:jc w:val="both"/>
        <w:rPr>
          <w:sz w:val="20"/>
        </w:rPr>
      </w:pPr>
      <w:r w:rsidRPr="006D7B25">
        <w:rPr>
          <w:sz w:val="20"/>
        </w:rPr>
        <w:t xml:space="preserve">High school peers could easily be trained as tutors to implement </w:t>
      </w:r>
      <w:r w:rsidR="003909A6" w:rsidRPr="006D7B25">
        <w:rPr>
          <w:sz w:val="20"/>
        </w:rPr>
        <w:t>BRSS</w:t>
      </w:r>
      <w:r w:rsidRPr="006D7B25">
        <w:rPr>
          <w:sz w:val="20"/>
        </w:rPr>
        <w:t xml:space="preserve"> and similar OG-based </w:t>
      </w:r>
      <w:r w:rsidR="003909A6" w:rsidRPr="006D7B25">
        <w:rPr>
          <w:sz w:val="20"/>
        </w:rPr>
        <w:t>programs</w:t>
      </w:r>
      <w:r w:rsidRPr="006D7B25">
        <w:rPr>
          <w:sz w:val="20"/>
        </w:rPr>
        <w:t>. In fact, Stenhoff and Lignugar</w:t>
      </w:r>
      <w:r w:rsidR="00E74366" w:rsidRPr="006D7B25">
        <w:rPr>
          <w:sz w:val="20"/>
        </w:rPr>
        <w:t xml:space="preserve">is/Kraft (2007) found that heterogeneous tutoring, where same-grade peers with higher level skills are used as tutors was supported as an evidence-based practice. While our study did not use same-grade peers, such an instructional arrangement would be an obvious fit in a school system. Futures studies should implement the BRSS in a high school with heterogeneous tutoring. </w:t>
      </w:r>
      <w:r w:rsidRPr="006D7B25">
        <w:rPr>
          <w:sz w:val="20"/>
        </w:rPr>
        <w:t xml:space="preserve"> </w:t>
      </w:r>
    </w:p>
    <w:p w:rsidR="00D50AD8" w:rsidRDefault="00D50AD8" w:rsidP="00D50AD8">
      <w:pPr>
        <w:pStyle w:val="08BodyText"/>
        <w:spacing w:line="240" w:lineRule="auto"/>
        <w:ind w:firstLine="0"/>
        <w:jc w:val="both"/>
        <w:rPr>
          <w:sz w:val="20"/>
        </w:rPr>
      </w:pPr>
    </w:p>
    <w:p w:rsidR="00570B16" w:rsidRPr="006D7B25" w:rsidRDefault="00E74366" w:rsidP="00D50AD8">
      <w:pPr>
        <w:pStyle w:val="08BodyText"/>
        <w:spacing w:line="240" w:lineRule="auto"/>
        <w:ind w:firstLine="0"/>
        <w:jc w:val="both"/>
        <w:rPr>
          <w:sz w:val="20"/>
        </w:rPr>
      </w:pPr>
      <w:r w:rsidRPr="006D7B25">
        <w:rPr>
          <w:sz w:val="20"/>
        </w:rPr>
        <w:t>Future research should also address methodological weaknesses and include a large</w:t>
      </w:r>
      <w:r w:rsidR="0081792D" w:rsidRPr="006D7B25">
        <w:rPr>
          <w:sz w:val="20"/>
        </w:rPr>
        <w:t>r</w:t>
      </w:r>
      <w:r w:rsidRPr="006D7B25">
        <w:rPr>
          <w:sz w:val="20"/>
        </w:rPr>
        <w:t xml:space="preserve"> sample size and a control group. </w:t>
      </w:r>
      <w:r w:rsidR="007F7B83" w:rsidRPr="006D7B25">
        <w:rPr>
          <w:sz w:val="20"/>
        </w:rPr>
        <w:t xml:space="preserve">First, a larger </w:t>
      </w:r>
      <w:r w:rsidR="00570B16" w:rsidRPr="006D7B25">
        <w:rPr>
          <w:sz w:val="20"/>
        </w:rPr>
        <w:t xml:space="preserve">sample size would be less sensitive to factors such as unequal number of reading treatment sessions among students, prior history of similar reading treatment, and grade levels.  </w:t>
      </w:r>
      <w:r w:rsidR="00DA6E2C" w:rsidRPr="006D7B25">
        <w:rPr>
          <w:sz w:val="20"/>
        </w:rPr>
        <w:t>A larger sample size might also have minimized the impact of the wide variance of mean scores</w:t>
      </w:r>
      <w:r w:rsidR="00D710F6" w:rsidRPr="006D7B25">
        <w:rPr>
          <w:sz w:val="20"/>
        </w:rPr>
        <w:t>, providing a more accurate representation of skill growth.</w:t>
      </w:r>
      <w:r w:rsidR="001E7563" w:rsidRPr="006D7B25">
        <w:rPr>
          <w:sz w:val="20"/>
        </w:rPr>
        <w:t xml:space="preserve"> </w:t>
      </w:r>
    </w:p>
    <w:p w:rsidR="00D50AD8" w:rsidRDefault="00D50AD8" w:rsidP="00D50AD8">
      <w:pPr>
        <w:pStyle w:val="08BodyText"/>
        <w:spacing w:line="240" w:lineRule="auto"/>
        <w:ind w:firstLine="0"/>
        <w:jc w:val="both"/>
        <w:rPr>
          <w:sz w:val="20"/>
        </w:rPr>
      </w:pPr>
    </w:p>
    <w:p w:rsidR="007F7B83" w:rsidRPr="006D7B25" w:rsidRDefault="007F7B83" w:rsidP="00D50AD8">
      <w:pPr>
        <w:pStyle w:val="08BodyText"/>
        <w:spacing w:line="240" w:lineRule="auto"/>
        <w:ind w:firstLine="0"/>
        <w:jc w:val="both"/>
        <w:rPr>
          <w:sz w:val="20"/>
        </w:rPr>
      </w:pPr>
      <w:r w:rsidRPr="006D7B25">
        <w:rPr>
          <w:sz w:val="20"/>
        </w:rPr>
        <w:t xml:space="preserve">Second, rather than using a randomized controlled treatment design, a quasi-experimental </w:t>
      </w:r>
      <w:r w:rsidR="00864C40" w:rsidRPr="006D7B25">
        <w:rPr>
          <w:sz w:val="20"/>
        </w:rPr>
        <w:t>pretest-posttest design was used.</w:t>
      </w:r>
      <w:r w:rsidRPr="006D7B25">
        <w:rPr>
          <w:sz w:val="20"/>
        </w:rPr>
        <w:t xml:space="preserve"> This decision was made because </w:t>
      </w:r>
      <w:r w:rsidR="00864C40" w:rsidRPr="006D7B25">
        <w:rPr>
          <w:sz w:val="20"/>
        </w:rPr>
        <w:t>the scope of the study did not allow for the selection of a comparable control group to be utilized.  Future studies using this approach would be greatly strengthen</w:t>
      </w:r>
      <w:r w:rsidR="00262C23" w:rsidRPr="006D7B25">
        <w:rPr>
          <w:sz w:val="20"/>
        </w:rPr>
        <w:t>ed</w:t>
      </w:r>
      <w:r w:rsidR="00864C40" w:rsidRPr="006D7B25">
        <w:rPr>
          <w:sz w:val="20"/>
        </w:rPr>
        <w:t xml:space="preserve"> by a between-groups approach. </w:t>
      </w:r>
    </w:p>
    <w:p w:rsidR="00D50AD8" w:rsidRDefault="00D50AD8" w:rsidP="00D50AD8">
      <w:pPr>
        <w:pStyle w:val="08BodyText"/>
        <w:spacing w:line="240" w:lineRule="auto"/>
        <w:ind w:firstLine="0"/>
        <w:jc w:val="both"/>
        <w:rPr>
          <w:sz w:val="20"/>
        </w:rPr>
      </w:pPr>
    </w:p>
    <w:p w:rsidR="00570B16" w:rsidRPr="006D7B25" w:rsidRDefault="007F7B83" w:rsidP="00D50AD8">
      <w:pPr>
        <w:pStyle w:val="08BodyText"/>
        <w:spacing w:line="240" w:lineRule="auto"/>
        <w:ind w:firstLine="0"/>
        <w:jc w:val="both"/>
        <w:rPr>
          <w:sz w:val="20"/>
        </w:rPr>
      </w:pPr>
      <w:r w:rsidRPr="006D7B25">
        <w:rPr>
          <w:sz w:val="20"/>
        </w:rPr>
        <w:t xml:space="preserve">Finally, the BRSS was used </w:t>
      </w:r>
      <w:r w:rsidR="00EE54E2" w:rsidRPr="006D7B25">
        <w:rPr>
          <w:sz w:val="20"/>
        </w:rPr>
        <w:t>as a</w:t>
      </w:r>
      <w:r w:rsidRPr="006D7B25">
        <w:rPr>
          <w:sz w:val="20"/>
        </w:rPr>
        <w:t xml:space="preserve"> supplemental </w:t>
      </w:r>
      <w:r w:rsidR="00EE54E2" w:rsidRPr="006D7B25">
        <w:rPr>
          <w:sz w:val="20"/>
        </w:rPr>
        <w:t xml:space="preserve">program </w:t>
      </w:r>
      <w:r w:rsidRPr="006D7B25">
        <w:rPr>
          <w:sz w:val="20"/>
        </w:rPr>
        <w:t xml:space="preserve">to the school’s reading curriculum. Therefore, the precise contribution of the </w:t>
      </w:r>
      <w:r w:rsidR="003C15BD" w:rsidRPr="006D7B25">
        <w:rPr>
          <w:sz w:val="20"/>
        </w:rPr>
        <w:t xml:space="preserve">intervention </w:t>
      </w:r>
      <w:r w:rsidRPr="006D7B25">
        <w:rPr>
          <w:sz w:val="20"/>
        </w:rPr>
        <w:t xml:space="preserve">the </w:t>
      </w:r>
      <w:r w:rsidR="003C15BD" w:rsidRPr="006D7B25">
        <w:rPr>
          <w:sz w:val="20"/>
        </w:rPr>
        <w:t xml:space="preserve">students’ </w:t>
      </w:r>
      <w:r w:rsidRPr="006D7B25">
        <w:rPr>
          <w:sz w:val="20"/>
        </w:rPr>
        <w:t xml:space="preserve">gains at the termination of the study could not be determined. </w:t>
      </w:r>
    </w:p>
    <w:p w:rsidR="00DD4078" w:rsidRPr="006D7B25" w:rsidRDefault="00DE4DDD" w:rsidP="00D50AD8">
      <w:pPr>
        <w:pStyle w:val="08BodyText"/>
        <w:spacing w:line="240" w:lineRule="auto"/>
        <w:ind w:firstLine="0"/>
        <w:jc w:val="both"/>
        <w:rPr>
          <w:sz w:val="20"/>
        </w:rPr>
      </w:pPr>
      <w:r w:rsidRPr="006D7B25">
        <w:rPr>
          <w:sz w:val="20"/>
        </w:rPr>
        <w:t xml:space="preserve">Given the </w:t>
      </w:r>
      <w:r w:rsidR="005376F2" w:rsidRPr="006D7B25">
        <w:rPr>
          <w:sz w:val="20"/>
        </w:rPr>
        <w:t xml:space="preserve">popularity </w:t>
      </w:r>
      <w:r w:rsidRPr="006D7B25">
        <w:rPr>
          <w:sz w:val="20"/>
        </w:rPr>
        <w:t xml:space="preserve">of </w:t>
      </w:r>
      <w:r w:rsidR="00DA27AB" w:rsidRPr="006D7B25">
        <w:rPr>
          <w:sz w:val="20"/>
        </w:rPr>
        <w:t>OG</w:t>
      </w:r>
      <w:r w:rsidRPr="006D7B25">
        <w:rPr>
          <w:sz w:val="20"/>
        </w:rPr>
        <w:t xml:space="preserve"> influenced reading interven</w:t>
      </w:r>
      <w:r w:rsidR="005376F2" w:rsidRPr="006D7B25">
        <w:rPr>
          <w:sz w:val="20"/>
        </w:rPr>
        <w:t xml:space="preserve">tion programs used </w:t>
      </w:r>
      <w:r w:rsidRPr="006D7B25">
        <w:rPr>
          <w:sz w:val="20"/>
        </w:rPr>
        <w:t>with school-age c</w:t>
      </w:r>
      <w:r w:rsidR="005376F2" w:rsidRPr="006D7B25">
        <w:rPr>
          <w:sz w:val="20"/>
        </w:rPr>
        <w:t xml:space="preserve">hildren, there is a critical need for controlled trials with randomization to study the efficacy of such programs.  Thus, future research should focus on comparing the academic performance of children randomly assigned to an </w:t>
      </w:r>
      <w:r w:rsidR="00DA27AB" w:rsidRPr="006D7B25">
        <w:rPr>
          <w:sz w:val="20"/>
        </w:rPr>
        <w:t>OG</w:t>
      </w:r>
      <w:r w:rsidR="005376F2" w:rsidRPr="006D7B25">
        <w:rPr>
          <w:sz w:val="20"/>
        </w:rPr>
        <w:t xml:space="preserve"> based intervention and children who receive a contrasting, comparison intervention.  </w:t>
      </w:r>
      <w:r w:rsidR="003B1B00" w:rsidRPr="006D7B25">
        <w:rPr>
          <w:sz w:val="20"/>
        </w:rPr>
        <w:t>However, a</w:t>
      </w:r>
      <w:r w:rsidR="005376F2" w:rsidRPr="006D7B25">
        <w:rPr>
          <w:sz w:val="20"/>
        </w:rPr>
        <w:t xml:space="preserve">s researchers strive to meet this </w:t>
      </w:r>
      <w:r w:rsidR="005376F2" w:rsidRPr="00213520">
        <w:rPr>
          <w:i/>
          <w:sz w:val="20"/>
        </w:rPr>
        <w:t>gold standard</w:t>
      </w:r>
      <w:r w:rsidR="003B1B00" w:rsidRPr="006D7B25">
        <w:rPr>
          <w:sz w:val="20"/>
        </w:rPr>
        <w:t xml:space="preserve">, it is imperative that the research community accept the valuable, interesting, and worthwhile information provided by other levels of research. </w:t>
      </w:r>
      <w:r w:rsidR="005376F2" w:rsidRPr="006D7B25">
        <w:rPr>
          <w:sz w:val="20"/>
        </w:rPr>
        <w:t xml:space="preserve"> </w:t>
      </w:r>
      <w:r w:rsidR="00366152" w:rsidRPr="006D7B25">
        <w:rPr>
          <w:sz w:val="20"/>
        </w:rPr>
        <w:t>Our study has shown how a</w:t>
      </w:r>
      <w:r w:rsidR="00E74366" w:rsidRPr="006D7B25">
        <w:rPr>
          <w:sz w:val="20"/>
        </w:rPr>
        <w:t xml:space="preserve"> multi-sensory, OG-based supplemental reading program can be effectively implemented in a real </w:t>
      </w:r>
      <w:r w:rsidR="007313D6" w:rsidRPr="006D7B25">
        <w:rPr>
          <w:sz w:val="20"/>
        </w:rPr>
        <w:t xml:space="preserve">secondary </w:t>
      </w:r>
      <w:r w:rsidR="00E74366" w:rsidRPr="006D7B25">
        <w:rPr>
          <w:sz w:val="20"/>
        </w:rPr>
        <w:t xml:space="preserve">setting with students who continue to experience the debilitating effects of reading disability. </w:t>
      </w:r>
      <w:r w:rsidR="009174DB" w:rsidRPr="006D7B25">
        <w:rPr>
          <w:sz w:val="20"/>
        </w:rPr>
        <w:t xml:space="preserve"> Future studies, in addition to the current research, will serve to continue to strengthen the available evidence-based research.</w:t>
      </w:r>
    </w:p>
    <w:p w:rsidR="005E6C3C" w:rsidRDefault="005E6C3C" w:rsidP="006D7B25">
      <w:pPr>
        <w:pStyle w:val="08BodyText"/>
        <w:spacing w:line="240" w:lineRule="auto"/>
        <w:ind w:firstLine="0"/>
        <w:jc w:val="both"/>
        <w:rPr>
          <w:sz w:val="20"/>
        </w:rPr>
      </w:pPr>
    </w:p>
    <w:p w:rsidR="00570B16" w:rsidRPr="006D7B25" w:rsidRDefault="00570B16" w:rsidP="006D7B25">
      <w:pPr>
        <w:pStyle w:val="08BodyText"/>
        <w:spacing w:line="240" w:lineRule="auto"/>
        <w:ind w:firstLine="0"/>
        <w:jc w:val="both"/>
        <w:rPr>
          <w:b/>
          <w:sz w:val="20"/>
        </w:rPr>
      </w:pPr>
      <w:r w:rsidRPr="006D7B25">
        <w:rPr>
          <w:b/>
          <w:sz w:val="20"/>
        </w:rPr>
        <w:t>References</w:t>
      </w:r>
    </w:p>
    <w:p w:rsidR="00570B16" w:rsidRPr="006D7B25" w:rsidRDefault="00570B16" w:rsidP="006D7B25">
      <w:pPr>
        <w:autoSpaceDE w:val="0"/>
        <w:autoSpaceDN w:val="0"/>
        <w:adjustRightInd w:val="0"/>
        <w:jc w:val="both"/>
        <w:rPr>
          <w:i/>
          <w:sz w:val="20"/>
          <w:szCs w:val="20"/>
        </w:rPr>
      </w:pPr>
      <w:r w:rsidRPr="006D7B25">
        <w:rPr>
          <w:sz w:val="20"/>
          <w:szCs w:val="20"/>
        </w:rPr>
        <w:t xml:space="preserve">Aaron, P. G., &amp; Baker, C. (1991). </w:t>
      </w:r>
      <w:r w:rsidRPr="006D7B25">
        <w:rPr>
          <w:i/>
          <w:sz w:val="20"/>
          <w:szCs w:val="20"/>
        </w:rPr>
        <w:t xml:space="preserve">Reading disabilities in college and high school: Diagnosis and </w:t>
      </w:r>
    </w:p>
    <w:p w:rsidR="00570B16" w:rsidRPr="006D7B25" w:rsidRDefault="00D50AD8" w:rsidP="006D7B25">
      <w:pPr>
        <w:autoSpaceDE w:val="0"/>
        <w:autoSpaceDN w:val="0"/>
        <w:adjustRightInd w:val="0"/>
        <w:jc w:val="both"/>
        <w:rPr>
          <w:sz w:val="20"/>
          <w:szCs w:val="20"/>
        </w:rPr>
      </w:pPr>
      <w:r>
        <w:rPr>
          <w:i/>
          <w:sz w:val="20"/>
          <w:szCs w:val="20"/>
        </w:rPr>
        <w:t xml:space="preserve"> </w:t>
      </w:r>
      <w:r w:rsidR="00570B16" w:rsidRPr="006D7B25">
        <w:rPr>
          <w:i/>
          <w:sz w:val="20"/>
          <w:szCs w:val="20"/>
        </w:rPr>
        <w:t>management.</w:t>
      </w:r>
      <w:r w:rsidR="00570B16" w:rsidRPr="006D7B25">
        <w:rPr>
          <w:sz w:val="20"/>
          <w:szCs w:val="20"/>
        </w:rPr>
        <w:t xml:space="preserve"> Parkton, MD: York Press, Inc.</w:t>
      </w:r>
    </w:p>
    <w:p w:rsidR="00D666C4" w:rsidRPr="006D7B25" w:rsidRDefault="00D666C4" w:rsidP="006D7B25">
      <w:pPr>
        <w:ind w:left="720" w:hanging="720"/>
        <w:jc w:val="both"/>
        <w:rPr>
          <w:sz w:val="20"/>
          <w:szCs w:val="20"/>
        </w:rPr>
      </w:pPr>
      <w:r w:rsidRPr="006D7B25">
        <w:rPr>
          <w:sz w:val="20"/>
          <w:szCs w:val="20"/>
        </w:rPr>
        <w:t xml:space="preserve">Adams, M. (1990). </w:t>
      </w:r>
      <w:r w:rsidRPr="006D7B25">
        <w:rPr>
          <w:i/>
          <w:sz w:val="20"/>
          <w:szCs w:val="20"/>
        </w:rPr>
        <w:t>Beginning to read: Thinking and learning about print.</w:t>
      </w:r>
      <w:r w:rsidRPr="006D7B25">
        <w:rPr>
          <w:sz w:val="20"/>
          <w:szCs w:val="20"/>
        </w:rPr>
        <w:t xml:space="preserve"> Cambridge, MA: MIT Press.</w:t>
      </w:r>
    </w:p>
    <w:p w:rsidR="00570B16" w:rsidRPr="006D7B25" w:rsidRDefault="00570B16" w:rsidP="00D50AD8">
      <w:pPr>
        <w:jc w:val="both"/>
        <w:rPr>
          <w:sz w:val="20"/>
          <w:szCs w:val="20"/>
        </w:rPr>
      </w:pPr>
      <w:r w:rsidRPr="006D7B25">
        <w:rPr>
          <w:sz w:val="20"/>
          <w:szCs w:val="20"/>
        </w:rPr>
        <w:t>Alexander, A.W., &amp; Slinger-Constant, A.-M. (2004). Current status of tr</w:t>
      </w:r>
      <w:r w:rsidR="00D50AD8">
        <w:rPr>
          <w:sz w:val="20"/>
          <w:szCs w:val="20"/>
        </w:rPr>
        <w:t xml:space="preserve">eatments for dyslexia: Critical </w:t>
      </w:r>
      <w:r w:rsidRPr="006D7B25">
        <w:rPr>
          <w:sz w:val="20"/>
          <w:szCs w:val="20"/>
        </w:rPr>
        <w:t xml:space="preserve">review. </w:t>
      </w:r>
      <w:r w:rsidRPr="006D7B25">
        <w:rPr>
          <w:i/>
          <w:sz w:val="20"/>
          <w:szCs w:val="20"/>
        </w:rPr>
        <w:t>Journal of Child Neurology, 19,</w:t>
      </w:r>
      <w:r w:rsidRPr="006D7B25">
        <w:rPr>
          <w:sz w:val="20"/>
          <w:szCs w:val="20"/>
        </w:rPr>
        <w:t xml:space="preserve"> 744-758.</w:t>
      </w:r>
    </w:p>
    <w:p w:rsidR="00570B16" w:rsidRPr="006D7B25" w:rsidRDefault="00570B16" w:rsidP="00D50AD8">
      <w:pPr>
        <w:autoSpaceDE w:val="0"/>
        <w:autoSpaceDN w:val="0"/>
        <w:adjustRightInd w:val="0"/>
        <w:jc w:val="both"/>
        <w:rPr>
          <w:rFonts w:eastAsia="Times New Roman"/>
          <w:sz w:val="20"/>
          <w:szCs w:val="20"/>
        </w:rPr>
      </w:pPr>
      <w:proofErr w:type="spellStart"/>
      <w:r w:rsidRPr="006D7B25">
        <w:rPr>
          <w:rFonts w:eastAsia="Times New Roman"/>
          <w:sz w:val="20"/>
          <w:szCs w:val="20"/>
        </w:rPr>
        <w:t>Alvermann</w:t>
      </w:r>
      <w:proofErr w:type="spellEnd"/>
      <w:r w:rsidRPr="006D7B25">
        <w:rPr>
          <w:rFonts w:eastAsia="Times New Roman"/>
          <w:sz w:val="20"/>
          <w:szCs w:val="20"/>
        </w:rPr>
        <w:t xml:space="preserve">, D. E. (2001). </w:t>
      </w:r>
      <w:r w:rsidRPr="006D7B25">
        <w:rPr>
          <w:rFonts w:eastAsia="Times New Roman"/>
          <w:i/>
          <w:sz w:val="20"/>
          <w:szCs w:val="20"/>
        </w:rPr>
        <w:t>Effective Literacy Instruction for Adolescents</w:t>
      </w:r>
      <w:r w:rsidR="00D50AD8">
        <w:rPr>
          <w:rFonts w:eastAsia="Times New Roman"/>
          <w:sz w:val="20"/>
          <w:szCs w:val="20"/>
        </w:rPr>
        <w:t xml:space="preserve">. Executive Summary and Paper </w:t>
      </w:r>
      <w:r w:rsidRPr="006D7B25">
        <w:rPr>
          <w:rFonts w:eastAsia="Times New Roman"/>
          <w:sz w:val="20"/>
          <w:szCs w:val="20"/>
        </w:rPr>
        <w:t>Commissioned by the National Reading Conference. Chicago, IL: National Reading Conference.</w:t>
      </w:r>
    </w:p>
    <w:p w:rsidR="00570B16" w:rsidRPr="006D7B25" w:rsidRDefault="00570B16" w:rsidP="006D7B25">
      <w:pPr>
        <w:autoSpaceDE w:val="0"/>
        <w:autoSpaceDN w:val="0"/>
        <w:adjustRightInd w:val="0"/>
        <w:jc w:val="both"/>
        <w:rPr>
          <w:sz w:val="20"/>
          <w:szCs w:val="20"/>
        </w:rPr>
      </w:pPr>
      <w:r w:rsidRPr="006D7B25">
        <w:rPr>
          <w:sz w:val="20"/>
          <w:szCs w:val="20"/>
        </w:rPr>
        <w:t xml:space="preserve">American Federation of Teachers. (2003). </w:t>
      </w:r>
      <w:r w:rsidRPr="006D7B25">
        <w:rPr>
          <w:i/>
          <w:iCs/>
          <w:sz w:val="20"/>
          <w:szCs w:val="20"/>
        </w:rPr>
        <w:t xml:space="preserve">American Educator, 27, </w:t>
      </w:r>
      <w:r w:rsidRPr="006D7B25">
        <w:rPr>
          <w:iCs/>
          <w:sz w:val="20"/>
          <w:szCs w:val="20"/>
        </w:rPr>
        <w:t>1</w:t>
      </w:r>
      <w:r w:rsidRPr="006D7B25">
        <w:rPr>
          <w:sz w:val="20"/>
          <w:szCs w:val="20"/>
        </w:rPr>
        <w:t>.</w:t>
      </w:r>
    </w:p>
    <w:p w:rsidR="00D15669" w:rsidRPr="006D7B25" w:rsidRDefault="00D15669" w:rsidP="004B3530">
      <w:pPr>
        <w:autoSpaceDE w:val="0"/>
        <w:autoSpaceDN w:val="0"/>
        <w:adjustRightInd w:val="0"/>
        <w:jc w:val="both"/>
        <w:rPr>
          <w:sz w:val="20"/>
          <w:szCs w:val="20"/>
        </w:rPr>
      </w:pPr>
      <w:r w:rsidRPr="006D7B25">
        <w:rPr>
          <w:sz w:val="20"/>
          <w:szCs w:val="20"/>
        </w:rPr>
        <w:t>Apel, K.</w:t>
      </w:r>
      <w:r w:rsidR="00457878" w:rsidRPr="006D7B25">
        <w:rPr>
          <w:sz w:val="20"/>
          <w:szCs w:val="20"/>
        </w:rPr>
        <w:t>,</w:t>
      </w:r>
      <w:r w:rsidRPr="006D7B25">
        <w:rPr>
          <w:sz w:val="20"/>
          <w:szCs w:val="20"/>
        </w:rPr>
        <w:t xml:space="preserve"> &amp; Swank. L. (1999). Second chances: Improving decoding skills in the older student.</w:t>
      </w:r>
      <w:r w:rsidR="004B3530">
        <w:rPr>
          <w:sz w:val="20"/>
          <w:szCs w:val="20"/>
        </w:rPr>
        <w:t xml:space="preserve"> </w:t>
      </w:r>
      <w:r w:rsidRPr="006D7B25">
        <w:rPr>
          <w:i/>
          <w:sz w:val="20"/>
          <w:szCs w:val="20"/>
        </w:rPr>
        <w:t>Language, Speech, and Hearing Services in Schools, 30,</w:t>
      </w:r>
      <w:r w:rsidRPr="006D7B25">
        <w:rPr>
          <w:sz w:val="20"/>
          <w:szCs w:val="20"/>
        </w:rPr>
        <w:t xml:space="preserve"> 231-242. </w:t>
      </w:r>
    </w:p>
    <w:p w:rsidR="00570B16" w:rsidRPr="006D7B25" w:rsidRDefault="00570B16" w:rsidP="004B3530">
      <w:pPr>
        <w:autoSpaceDE w:val="0"/>
        <w:autoSpaceDN w:val="0"/>
        <w:adjustRightInd w:val="0"/>
        <w:jc w:val="both"/>
        <w:rPr>
          <w:sz w:val="20"/>
          <w:szCs w:val="20"/>
        </w:rPr>
      </w:pPr>
      <w:r w:rsidRPr="006D7B25">
        <w:rPr>
          <w:sz w:val="20"/>
          <w:szCs w:val="20"/>
        </w:rPr>
        <w:t xml:space="preserve">Archer, A. L., Gleason, M. M., &amp; Vachon, V. L. (2003). Decoding and fluency: Foundation skills for struggling older readers. </w:t>
      </w:r>
      <w:r w:rsidRPr="006D7B25">
        <w:rPr>
          <w:i/>
          <w:iCs/>
          <w:sz w:val="20"/>
          <w:szCs w:val="20"/>
        </w:rPr>
        <w:t>Learning Disability Quarterly, 26</w:t>
      </w:r>
      <w:r w:rsidRPr="006D7B25">
        <w:rPr>
          <w:sz w:val="20"/>
          <w:szCs w:val="20"/>
        </w:rPr>
        <w:t>(2), 89-101.</w:t>
      </w:r>
    </w:p>
    <w:p w:rsidR="00570B16" w:rsidRPr="006D7B25" w:rsidRDefault="00570B16" w:rsidP="004B3530">
      <w:pPr>
        <w:autoSpaceDE w:val="0"/>
        <w:autoSpaceDN w:val="0"/>
        <w:adjustRightInd w:val="0"/>
        <w:jc w:val="both"/>
        <w:rPr>
          <w:sz w:val="20"/>
          <w:szCs w:val="20"/>
        </w:rPr>
      </w:pPr>
      <w:r w:rsidRPr="006D7B25">
        <w:rPr>
          <w:sz w:val="20"/>
          <w:szCs w:val="20"/>
        </w:rPr>
        <w:t xml:space="preserve">Barber, L., &amp; McClellan, M. (1987). Looking at America’s dropouts: Who are they? </w:t>
      </w:r>
      <w:r w:rsidRPr="006D7B25">
        <w:rPr>
          <w:i/>
          <w:sz w:val="20"/>
          <w:szCs w:val="20"/>
        </w:rPr>
        <w:t>Phi Delta Kappan, 69</w:t>
      </w:r>
      <w:r w:rsidRPr="006D7B25">
        <w:rPr>
          <w:sz w:val="20"/>
          <w:szCs w:val="20"/>
        </w:rPr>
        <w:t>(4), 264-267.</w:t>
      </w:r>
    </w:p>
    <w:p w:rsidR="003D71D8" w:rsidRPr="006D7B25" w:rsidRDefault="003D71D8" w:rsidP="004B3530">
      <w:pPr>
        <w:jc w:val="both"/>
        <w:rPr>
          <w:color w:val="000000"/>
          <w:sz w:val="20"/>
          <w:szCs w:val="20"/>
        </w:rPr>
      </w:pPr>
      <w:r w:rsidRPr="006D7B25">
        <w:rPr>
          <w:sz w:val="20"/>
          <w:szCs w:val="20"/>
        </w:rPr>
        <w:t xml:space="preserve">Bartolo, P., Hofsaess, T., &amp; Koinzer, P. (2005, August). </w:t>
      </w:r>
      <w:r w:rsidRPr="006D7B25">
        <w:rPr>
          <w:i/>
          <w:sz w:val="20"/>
          <w:szCs w:val="20"/>
        </w:rPr>
        <w:t xml:space="preserve">How </w:t>
      </w:r>
      <w:r w:rsidR="009F545E" w:rsidRPr="006D7B25">
        <w:rPr>
          <w:i/>
          <w:sz w:val="20"/>
          <w:szCs w:val="20"/>
        </w:rPr>
        <w:t>t</w:t>
      </w:r>
      <w:r w:rsidRPr="006D7B25">
        <w:rPr>
          <w:i/>
          <w:sz w:val="20"/>
          <w:szCs w:val="20"/>
        </w:rPr>
        <w:t xml:space="preserve">eachers in the </w:t>
      </w:r>
      <w:r w:rsidR="009F545E" w:rsidRPr="006D7B25">
        <w:rPr>
          <w:i/>
          <w:sz w:val="20"/>
          <w:szCs w:val="20"/>
        </w:rPr>
        <w:t>r</w:t>
      </w:r>
      <w:r w:rsidRPr="006D7B25">
        <w:rPr>
          <w:i/>
          <w:sz w:val="20"/>
          <w:szCs w:val="20"/>
        </w:rPr>
        <w:t xml:space="preserve">egion of Saxony and Malta </w:t>
      </w:r>
      <w:r w:rsidR="009F545E" w:rsidRPr="006D7B25">
        <w:rPr>
          <w:i/>
          <w:sz w:val="20"/>
          <w:szCs w:val="20"/>
        </w:rPr>
        <w:t>a</w:t>
      </w:r>
      <w:r w:rsidRPr="006D7B25">
        <w:rPr>
          <w:i/>
          <w:sz w:val="20"/>
          <w:szCs w:val="20"/>
        </w:rPr>
        <w:t xml:space="preserve">re </w:t>
      </w:r>
      <w:r w:rsidR="009F545E" w:rsidRPr="006D7B25">
        <w:rPr>
          <w:i/>
          <w:sz w:val="20"/>
          <w:szCs w:val="20"/>
        </w:rPr>
        <w:t>s</w:t>
      </w:r>
      <w:r w:rsidRPr="006D7B25">
        <w:rPr>
          <w:i/>
          <w:sz w:val="20"/>
          <w:szCs w:val="20"/>
        </w:rPr>
        <w:t xml:space="preserve">imilar and </w:t>
      </w:r>
      <w:r w:rsidR="009F545E" w:rsidRPr="006D7B25">
        <w:rPr>
          <w:i/>
          <w:sz w:val="20"/>
          <w:szCs w:val="20"/>
        </w:rPr>
        <w:t>d</w:t>
      </w:r>
      <w:r w:rsidRPr="006D7B25">
        <w:rPr>
          <w:i/>
          <w:sz w:val="20"/>
          <w:szCs w:val="20"/>
        </w:rPr>
        <w:t xml:space="preserve">ifferent in </w:t>
      </w:r>
      <w:r w:rsidR="009F545E" w:rsidRPr="006D7B25">
        <w:rPr>
          <w:i/>
          <w:sz w:val="20"/>
          <w:szCs w:val="20"/>
        </w:rPr>
        <w:t>t</w:t>
      </w:r>
      <w:r w:rsidRPr="006D7B25">
        <w:rPr>
          <w:i/>
          <w:sz w:val="20"/>
          <w:szCs w:val="20"/>
        </w:rPr>
        <w:t xml:space="preserve">heir </w:t>
      </w:r>
      <w:r w:rsidR="009F545E" w:rsidRPr="006D7B25">
        <w:rPr>
          <w:i/>
          <w:sz w:val="20"/>
          <w:szCs w:val="20"/>
        </w:rPr>
        <w:t>r</w:t>
      </w:r>
      <w:r w:rsidRPr="006D7B25">
        <w:rPr>
          <w:i/>
          <w:sz w:val="20"/>
          <w:szCs w:val="20"/>
        </w:rPr>
        <w:t xml:space="preserve">esponse to the </w:t>
      </w:r>
      <w:r w:rsidR="009F545E" w:rsidRPr="006D7B25">
        <w:rPr>
          <w:i/>
          <w:sz w:val="20"/>
          <w:szCs w:val="20"/>
        </w:rPr>
        <w:t>d</w:t>
      </w:r>
      <w:r w:rsidRPr="006D7B25">
        <w:rPr>
          <w:i/>
          <w:sz w:val="20"/>
          <w:szCs w:val="20"/>
        </w:rPr>
        <w:t xml:space="preserve">iversity of </w:t>
      </w:r>
      <w:r w:rsidR="009F545E" w:rsidRPr="006D7B25">
        <w:rPr>
          <w:i/>
          <w:sz w:val="20"/>
          <w:szCs w:val="20"/>
        </w:rPr>
        <w:t>s</w:t>
      </w:r>
      <w:r w:rsidRPr="006D7B25">
        <w:rPr>
          <w:i/>
          <w:sz w:val="20"/>
          <w:szCs w:val="20"/>
        </w:rPr>
        <w:t xml:space="preserve">tudents in the </w:t>
      </w:r>
      <w:r w:rsidR="009F545E" w:rsidRPr="006D7B25">
        <w:rPr>
          <w:i/>
          <w:sz w:val="20"/>
          <w:szCs w:val="20"/>
        </w:rPr>
        <w:t>p</w:t>
      </w:r>
      <w:r w:rsidRPr="006D7B25">
        <w:rPr>
          <w:i/>
          <w:sz w:val="20"/>
          <w:szCs w:val="20"/>
        </w:rPr>
        <w:t xml:space="preserve">rimary </w:t>
      </w:r>
      <w:r w:rsidR="009F545E" w:rsidRPr="006D7B25">
        <w:rPr>
          <w:i/>
          <w:sz w:val="20"/>
          <w:szCs w:val="20"/>
        </w:rPr>
        <w:t>c</w:t>
      </w:r>
      <w:r w:rsidRPr="006D7B25">
        <w:rPr>
          <w:i/>
          <w:sz w:val="20"/>
          <w:szCs w:val="20"/>
        </w:rPr>
        <w:t>lassroom</w:t>
      </w:r>
      <w:r w:rsidRPr="006D7B25">
        <w:rPr>
          <w:sz w:val="20"/>
          <w:szCs w:val="20"/>
        </w:rPr>
        <w:t>. Presentation at the annual international conference of the Association for Teacher Education Europe, Amsterdam.</w:t>
      </w:r>
    </w:p>
    <w:p w:rsidR="00570B16" w:rsidRPr="006D7B25" w:rsidRDefault="00570B16" w:rsidP="004B3530">
      <w:pPr>
        <w:jc w:val="both"/>
        <w:rPr>
          <w:color w:val="000000"/>
          <w:sz w:val="20"/>
          <w:szCs w:val="20"/>
        </w:rPr>
      </w:pPr>
      <w:r w:rsidRPr="006D7B25">
        <w:rPr>
          <w:sz w:val="20"/>
          <w:szCs w:val="20"/>
        </w:rPr>
        <w:t xml:space="preserve">Barton, S. (2000). </w:t>
      </w:r>
      <w:r w:rsidRPr="006D7B25">
        <w:rPr>
          <w:i/>
          <w:sz w:val="20"/>
          <w:szCs w:val="20"/>
        </w:rPr>
        <w:t>The Barton Reading and Spelling System</w:t>
      </w:r>
      <w:r w:rsidRPr="006D7B25">
        <w:rPr>
          <w:sz w:val="20"/>
          <w:szCs w:val="20"/>
        </w:rPr>
        <w:t>. San</w:t>
      </w:r>
      <w:r w:rsidR="004B3530">
        <w:rPr>
          <w:sz w:val="20"/>
          <w:szCs w:val="20"/>
        </w:rPr>
        <w:t xml:space="preserve"> Jose, CA: Bright Solutions for </w:t>
      </w:r>
      <w:r w:rsidRPr="006D7B25">
        <w:rPr>
          <w:sz w:val="20"/>
          <w:szCs w:val="20"/>
        </w:rPr>
        <w:t xml:space="preserve">Dyslexia. </w:t>
      </w:r>
      <w:r w:rsidRPr="005E6C3C">
        <w:rPr>
          <w:sz w:val="20"/>
          <w:szCs w:val="20"/>
        </w:rPr>
        <w:t>http://www.bartonreading.com</w:t>
      </w:r>
      <w:r w:rsidRPr="006D7B25">
        <w:rPr>
          <w:color w:val="000000"/>
          <w:sz w:val="20"/>
          <w:szCs w:val="20"/>
        </w:rPr>
        <w:t xml:space="preserve">  Last accessed September 18, 2009.</w:t>
      </w:r>
    </w:p>
    <w:p w:rsidR="004B3530" w:rsidRDefault="00570B16" w:rsidP="006D7B25">
      <w:pPr>
        <w:autoSpaceDE w:val="0"/>
        <w:autoSpaceDN w:val="0"/>
        <w:adjustRightInd w:val="0"/>
        <w:ind w:left="720" w:hanging="720"/>
        <w:jc w:val="both"/>
        <w:rPr>
          <w:color w:val="000000"/>
          <w:sz w:val="20"/>
          <w:szCs w:val="20"/>
        </w:rPr>
      </w:pPr>
      <w:r w:rsidRPr="006D7B25">
        <w:rPr>
          <w:color w:val="000000"/>
          <w:sz w:val="20"/>
          <w:szCs w:val="20"/>
        </w:rPr>
        <w:t>Begeny, J. C., &amp; Silber, J. M. (2006). An examination of group-based treatment p</w:t>
      </w:r>
      <w:r w:rsidR="00C50245" w:rsidRPr="006D7B25">
        <w:rPr>
          <w:color w:val="000000"/>
          <w:sz w:val="20"/>
          <w:szCs w:val="20"/>
        </w:rPr>
        <w:t xml:space="preserve">ackages for </w:t>
      </w:r>
      <w:r w:rsidR="004B3530">
        <w:rPr>
          <w:color w:val="000000"/>
          <w:sz w:val="20"/>
          <w:szCs w:val="20"/>
        </w:rPr>
        <w:t>increasing</w:t>
      </w:r>
    </w:p>
    <w:p w:rsidR="00570B16" w:rsidRPr="006D7B25" w:rsidRDefault="00570B16" w:rsidP="006D7B25">
      <w:pPr>
        <w:autoSpaceDE w:val="0"/>
        <w:autoSpaceDN w:val="0"/>
        <w:adjustRightInd w:val="0"/>
        <w:ind w:left="720" w:hanging="720"/>
        <w:jc w:val="both"/>
        <w:rPr>
          <w:color w:val="000000"/>
          <w:sz w:val="20"/>
          <w:szCs w:val="20"/>
        </w:rPr>
      </w:pPr>
      <w:r w:rsidRPr="006D7B25">
        <w:rPr>
          <w:color w:val="000000"/>
          <w:sz w:val="20"/>
          <w:szCs w:val="20"/>
        </w:rPr>
        <w:t xml:space="preserve">elementary-aged students' reading fluency. </w:t>
      </w:r>
      <w:r w:rsidRPr="006D7B25">
        <w:rPr>
          <w:i/>
          <w:iCs/>
          <w:color w:val="000000"/>
          <w:sz w:val="20"/>
          <w:szCs w:val="20"/>
        </w:rPr>
        <w:t xml:space="preserve">Psychology in the Schools, </w:t>
      </w:r>
      <w:r w:rsidRPr="006D7B25">
        <w:rPr>
          <w:rStyle w:val="volume5"/>
          <w:b w:val="0"/>
          <w:i/>
          <w:color w:val="000000"/>
          <w:sz w:val="20"/>
          <w:szCs w:val="20"/>
        </w:rPr>
        <w:t>43</w:t>
      </w:r>
      <w:r w:rsidRPr="006D7B25">
        <w:rPr>
          <w:rStyle w:val="volume5"/>
          <w:b w:val="0"/>
          <w:color w:val="000000"/>
          <w:sz w:val="20"/>
          <w:szCs w:val="20"/>
        </w:rPr>
        <w:t>(</w:t>
      </w:r>
      <w:r w:rsidR="00C50245" w:rsidRPr="006D7B25">
        <w:rPr>
          <w:color w:val="000000"/>
          <w:sz w:val="20"/>
          <w:szCs w:val="20"/>
        </w:rPr>
        <w:t>2), 183</w:t>
      </w:r>
      <w:r w:rsidR="008241B6" w:rsidRPr="006D7B25">
        <w:rPr>
          <w:color w:val="000000"/>
          <w:sz w:val="20"/>
          <w:szCs w:val="20"/>
        </w:rPr>
        <w:t>-</w:t>
      </w:r>
      <w:r w:rsidR="00C50245" w:rsidRPr="006D7B25">
        <w:rPr>
          <w:color w:val="000000"/>
          <w:sz w:val="20"/>
          <w:szCs w:val="20"/>
        </w:rPr>
        <w:t xml:space="preserve"> </w:t>
      </w:r>
      <w:r w:rsidRPr="006D7B25">
        <w:rPr>
          <w:color w:val="000000"/>
          <w:sz w:val="20"/>
          <w:szCs w:val="20"/>
        </w:rPr>
        <w:t>195.</w:t>
      </w:r>
    </w:p>
    <w:p w:rsidR="002526A7" w:rsidRPr="006D7B25" w:rsidRDefault="001F3BF5" w:rsidP="006D7B25">
      <w:pPr>
        <w:autoSpaceDE w:val="0"/>
        <w:autoSpaceDN w:val="0"/>
        <w:adjustRightInd w:val="0"/>
        <w:jc w:val="both"/>
        <w:rPr>
          <w:rFonts w:eastAsia="Times New Roman"/>
          <w:sz w:val="20"/>
          <w:szCs w:val="20"/>
        </w:rPr>
      </w:pPr>
      <w:r w:rsidRPr="006D7B25">
        <w:rPr>
          <w:rFonts w:eastAsia="Times New Roman"/>
          <w:sz w:val="20"/>
          <w:szCs w:val="20"/>
        </w:rPr>
        <w:t xml:space="preserve">Bishop, D., Adams, C., &amp; Lehtonen, A. (2005). Effectiveness of computerised spelling training in </w:t>
      </w:r>
    </w:p>
    <w:p w:rsidR="00602C61" w:rsidRPr="006D7B25" w:rsidRDefault="001F3BF5" w:rsidP="004B3530">
      <w:pPr>
        <w:autoSpaceDE w:val="0"/>
        <w:autoSpaceDN w:val="0"/>
        <w:adjustRightInd w:val="0"/>
        <w:jc w:val="both"/>
        <w:rPr>
          <w:rFonts w:eastAsia="Times New Roman"/>
          <w:sz w:val="20"/>
          <w:szCs w:val="20"/>
        </w:rPr>
      </w:pPr>
      <w:r w:rsidRPr="006D7B25">
        <w:rPr>
          <w:rFonts w:eastAsia="Times New Roman"/>
          <w:sz w:val="20"/>
          <w:szCs w:val="20"/>
        </w:rPr>
        <w:t>children with language impairments: a comparison of modified and unmodified speech input</w:t>
      </w:r>
      <w:r w:rsidR="008C17DF" w:rsidRPr="006D7B25">
        <w:rPr>
          <w:rFonts w:eastAsia="Times New Roman"/>
          <w:sz w:val="20"/>
          <w:szCs w:val="20"/>
        </w:rPr>
        <w:t xml:space="preserve">. </w:t>
      </w:r>
      <w:r w:rsidR="002526A7" w:rsidRPr="006D7B25">
        <w:rPr>
          <w:rFonts w:eastAsia="Times New Roman"/>
          <w:i/>
          <w:sz w:val="20"/>
          <w:szCs w:val="20"/>
        </w:rPr>
        <w:t>Journal of Research in Reading, 28</w:t>
      </w:r>
      <w:r w:rsidR="002526A7" w:rsidRPr="006D7B25">
        <w:rPr>
          <w:rFonts w:eastAsia="Times New Roman"/>
          <w:sz w:val="20"/>
          <w:szCs w:val="20"/>
        </w:rPr>
        <w:t>(2), 144–157</w:t>
      </w:r>
      <w:r w:rsidR="00E40CC0" w:rsidRPr="006D7B25">
        <w:rPr>
          <w:rFonts w:eastAsia="Times New Roman"/>
          <w:sz w:val="20"/>
          <w:szCs w:val="20"/>
        </w:rPr>
        <w:t>.</w:t>
      </w:r>
    </w:p>
    <w:p w:rsidR="00570B16" w:rsidRPr="006D7B25" w:rsidRDefault="00570B16" w:rsidP="006D7B25">
      <w:pPr>
        <w:autoSpaceDE w:val="0"/>
        <w:autoSpaceDN w:val="0"/>
        <w:adjustRightInd w:val="0"/>
        <w:jc w:val="both"/>
        <w:rPr>
          <w:color w:val="000000"/>
          <w:sz w:val="20"/>
          <w:szCs w:val="20"/>
        </w:rPr>
      </w:pPr>
      <w:r w:rsidRPr="006D7B25">
        <w:rPr>
          <w:color w:val="000000"/>
          <w:sz w:val="20"/>
          <w:szCs w:val="20"/>
        </w:rPr>
        <w:t xml:space="preserve">Bos, C. S., &amp; Anders, P. L. (1990). Effects of interactive vocabulary instruction on the vocabulary </w:t>
      </w:r>
    </w:p>
    <w:p w:rsidR="00570B16" w:rsidRPr="006D7B25" w:rsidRDefault="004B3530" w:rsidP="006D7B25">
      <w:pPr>
        <w:autoSpaceDE w:val="0"/>
        <w:autoSpaceDN w:val="0"/>
        <w:adjustRightInd w:val="0"/>
        <w:jc w:val="both"/>
        <w:rPr>
          <w:i/>
          <w:color w:val="000000"/>
          <w:sz w:val="20"/>
          <w:szCs w:val="20"/>
        </w:rPr>
      </w:pPr>
      <w:r>
        <w:rPr>
          <w:color w:val="000000"/>
          <w:sz w:val="20"/>
          <w:szCs w:val="20"/>
        </w:rPr>
        <w:t xml:space="preserve"> </w:t>
      </w:r>
      <w:r w:rsidR="00570B16" w:rsidRPr="006D7B25">
        <w:rPr>
          <w:color w:val="000000"/>
          <w:sz w:val="20"/>
          <w:szCs w:val="20"/>
        </w:rPr>
        <w:t xml:space="preserve">learning and reading comprehension of junior-high learning disabled students. </w:t>
      </w:r>
      <w:r w:rsidR="00570B16" w:rsidRPr="006D7B25">
        <w:rPr>
          <w:i/>
          <w:color w:val="000000"/>
          <w:sz w:val="20"/>
          <w:szCs w:val="20"/>
        </w:rPr>
        <w:t xml:space="preserve">Learning </w:t>
      </w:r>
    </w:p>
    <w:p w:rsidR="00570B16" w:rsidRPr="006D7B25" w:rsidRDefault="004B3530" w:rsidP="006D7B25">
      <w:pPr>
        <w:autoSpaceDE w:val="0"/>
        <w:autoSpaceDN w:val="0"/>
        <w:adjustRightInd w:val="0"/>
        <w:jc w:val="both"/>
        <w:rPr>
          <w:color w:val="000000"/>
          <w:sz w:val="20"/>
          <w:szCs w:val="20"/>
        </w:rPr>
      </w:pPr>
      <w:r>
        <w:rPr>
          <w:i/>
          <w:color w:val="000000"/>
          <w:sz w:val="20"/>
          <w:szCs w:val="20"/>
        </w:rPr>
        <w:t xml:space="preserve"> </w:t>
      </w:r>
      <w:r w:rsidR="00570B16" w:rsidRPr="006D7B25">
        <w:rPr>
          <w:i/>
          <w:color w:val="000000"/>
          <w:sz w:val="20"/>
          <w:szCs w:val="20"/>
        </w:rPr>
        <w:t>Disability Quarterly, 13</w:t>
      </w:r>
      <w:r w:rsidR="00570B16" w:rsidRPr="006D7B25">
        <w:rPr>
          <w:color w:val="000000"/>
          <w:sz w:val="20"/>
          <w:szCs w:val="20"/>
        </w:rPr>
        <w:t>(1), 31-42.</w:t>
      </w:r>
    </w:p>
    <w:p w:rsidR="00570B16" w:rsidRPr="006D7B25" w:rsidRDefault="00570B16" w:rsidP="004B3530">
      <w:pPr>
        <w:jc w:val="both"/>
        <w:rPr>
          <w:sz w:val="20"/>
          <w:szCs w:val="20"/>
        </w:rPr>
      </w:pPr>
      <w:r w:rsidRPr="006D7B25">
        <w:rPr>
          <w:sz w:val="20"/>
          <w:szCs w:val="20"/>
        </w:rPr>
        <w:t>Brooks, P. L., &amp; Weeks, S. A .J. (1998). A comparison of the responses</w:t>
      </w:r>
      <w:r w:rsidR="004B3530">
        <w:rPr>
          <w:sz w:val="20"/>
          <w:szCs w:val="20"/>
        </w:rPr>
        <w:t xml:space="preserve"> of dyslexic, slow learning and </w:t>
      </w:r>
      <w:r w:rsidRPr="006D7B25">
        <w:rPr>
          <w:sz w:val="20"/>
          <w:szCs w:val="20"/>
        </w:rPr>
        <w:t xml:space="preserve">control children to different strategies for teaching spellings. </w:t>
      </w:r>
      <w:r w:rsidRPr="006D7B25">
        <w:rPr>
          <w:i/>
          <w:sz w:val="20"/>
          <w:szCs w:val="20"/>
        </w:rPr>
        <w:t>Dyslexia, 4,</w:t>
      </w:r>
      <w:r w:rsidRPr="006D7B25">
        <w:rPr>
          <w:sz w:val="20"/>
          <w:szCs w:val="20"/>
        </w:rPr>
        <w:t xml:space="preserve"> 212-222.</w:t>
      </w:r>
    </w:p>
    <w:p w:rsidR="00570B16" w:rsidRPr="006D7B25" w:rsidRDefault="00570B16" w:rsidP="004B3530">
      <w:pPr>
        <w:autoSpaceDE w:val="0"/>
        <w:autoSpaceDN w:val="0"/>
        <w:adjustRightInd w:val="0"/>
        <w:jc w:val="both"/>
        <w:rPr>
          <w:sz w:val="20"/>
          <w:szCs w:val="20"/>
        </w:rPr>
      </w:pPr>
      <w:r w:rsidRPr="006D7B25">
        <w:rPr>
          <w:sz w:val="20"/>
          <w:szCs w:val="20"/>
        </w:rPr>
        <w:t xml:space="preserve">Bryant, D. P. (2003). Promoting effective instruction for struggling secondary students: Introduction to the special issue. </w:t>
      </w:r>
      <w:r w:rsidRPr="006D7B25">
        <w:rPr>
          <w:i/>
          <w:sz w:val="20"/>
          <w:szCs w:val="20"/>
        </w:rPr>
        <w:t>Learning Disability Quarterly, 26</w:t>
      </w:r>
      <w:r w:rsidRPr="006D7B25">
        <w:rPr>
          <w:sz w:val="20"/>
          <w:szCs w:val="20"/>
        </w:rPr>
        <w:t>, 70-71.</w:t>
      </w:r>
    </w:p>
    <w:p w:rsidR="00570B16" w:rsidRPr="006D7B25" w:rsidRDefault="00570B16" w:rsidP="004B3530">
      <w:pPr>
        <w:autoSpaceDE w:val="0"/>
        <w:autoSpaceDN w:val="0"/>
        <w:adjustRightInd w:val="0"/>
        <w:jc w:val="both"/>
        <w:rPr>
          <w:sz w:val="20"/>
          <w:szCs w:val="20"/>
        </w:rPr>
      </w:pPr>
      <w:r w:rsidRPr="006D7B25">
        <w:rPr>
          <w:sz w:val="20"/>
          <w:szCs w:val="20"/>
        </w:rPr>
        <w:t xml:space="preserve">Bryant, D. P., Vaughn, S., Linan-Thompson, S., Ugel, N., Hamff, A., &amp; Hougen, M. (2000). Reading outcomes for students with and without reading disabilities in general education middle-school content area classes. </w:t>
      </w:r>
      <w:r w:rsidRPr="006D7B25">
        <w:rPr>
          <w:i/>
          <w:iCs/>
          <w:sz w:val="20"/>
          <w:szCs w:val="20"/>
        </w:rPr>
        <w:t>Learning Disability Quarterly, 23</w:t>
      </w:r>
      <w:r w:rsidRPr="006D7B25">
        <w:rPr>
          <w:sz w:val="20"/>
          <w:szCs w:val="20"/>
        </w:rPr>
        <w:t>(4), 238-252.</w:t>
      </w:r>
    </w:p>
    <w:p w:rsidR="00570B16" w:rsidRPr="006D7B25" w:rsidRDefault="00570B16" w:rsidP="006D7B25">
      <w:pPr>
        <w:autoSpaceDE w:val="0"/>
        <w:autoSpaceDN w:val="0"/>
        <w:adjustRightInd w:val="0"/>
        <w:jc w:val="both"/>
        <w:rPr>
          <w:sz w:val="20"/>
          <w:szCs w:val="20"/>
        </w:rPr>
      </w:pPr>
      <w:r w:rsidRPr="006D7B25">
        <w:rPr>
          <w:sz w:val="20"/>
          <w:szCs w:val="20"/>
        </w:rPr>
        <w:t xml:space="preserve">Chall, J. S. (1996). </w:t>
      </w:r>
      <w:r w:rsidRPr="006D7B25">
        <w:rPr>
          <w:i/>
          <w:sz w:val="20"/>
          <w:szCs w:val="20"/>
        </w:rPr>
        <w:t>Stages of reading development</w:t>
      </w:r>
      <w:r w:rsidRPr="006D7B25">
        <w:rPr>
          <w:sz w:val="20"/>
          <w:szCs w:val="20"/>
        </w:rPr>
        <w:t>. New York: McGraw-Hill.</w:t>
      </w:r>
    </w:p>
    <w:p w:rsidR="00570B16" w:rsidRPr="006D7B25" w:rsidRDefault="00570B16" w:rsidP="004B3530">
      <w:pPr>
        <w:autoSpaceDE w:val="0"/>
        <w:autoSpaceDN w:val="0"/>
        <w:adjustRightInd w:val="0"/>
        <w:jc w:val="both"/>
        <w:rPr>
          <w:sz w:val="20"/>
          <w:szCs w:val="20"/>
        </w:rPr>
      </w:pPr>
      <w:r w:rsidRPr="006D7B25">
        <w:rPr>
          <w:sz w:val="20"/>
          <w:szCs w:val="20"/>
        </w:rPr>
        <w:t xml:space="preserve">Chall, J. S. &amp; Jacobs, V. A. (2003). The classic study on poor children’s fourth-grade slump. </w:t>
      </w:r>
      <w:r w:rsidRPr="006D7B25">
        <w:rPr>
          <w:i/>
          <w:sz w:val="20"/>
          <w:szCs w:val="20"/>
        </w:rPr>
        <w:t>A</w:t>
      </w:r>
      <w:r w:rsidR="004B3530">
        <w:rPr>
          <w:i/>
          <w:iCs/>
          <w:sz w:val="20"/>
          <w:szCs w:val="20"/>
        </w:rPr>
        <w:t xml:space="preserve">merican </w:t>
      </w:r>
      <w:r w:rsidRPr="006D7B25">
        <w:rPr>
          <w:i/>
          <w:iCs/>
          <w:sz w:val="20"/>
          <w:szCs w:val="20"/>
        </w:rPr>
        <w:t>Educator, 27</w:t>
      </w:r>
      <w:r w:rsidR="002F23D7" w:rsidRPr="006D7B25">
        <w:rPr>
          <w:iCs/>
          <w:sz w:val="20"/>
          <w:szCs w:val="20"/>
        </w:rPr>
        <w:t>(</w:t>
      </w:r>
      <w:r w:rsidRPr="006D7B25">
        <w:rPr>
          <w:i/>
          <w:iCs/>
          <w:sz w:val="20"/>
          <w:szCs w:val="20"/>
        </w:rPr>
        <w:t>1</w:t>
      </w:r>
      <w:r w:rsidR="002F23D7" w:rsidRPr="006D7B25">
        <w:rPr>
          <w:iCs/>
          <w:sz w:val="20"/>
          <w:szCs w:val="20"/>
        </w:rPr>
        <w:t>)</w:t>
      </w:r>
      <w:r w:rsidRPr="006D7B25">
        <w:rPr>
          <w:sz w:val="20"/>
          <w:szCs w:val="20"/>
        </w:rPr>
        <w:t>, 14-15, 44.</w:t>
      </w:r>
    </w:p>
    <w:p w:rsidR="00650394" w:rsidRPr="006D7B25" w:rsidRDefault="00650394" w:rsidP="006D7B25">
      <w:pPr>
        <w:autoSpaceDE w:val="0"/>
        <w:autoSpaceDN w:val="0"/>
        <w:adjustRightInd w:val="0"/>
        <w:jc w:val="both"/>
        <w:rPr>
          <w:rFonts w:eastAsia="Times New Roman"/>
          <w:sz w:val="20"/>
          <w:szCs w:val="20"/>
        </w:rPr>
      </w:pPr>
      <w:r w:rsidRPr="006D7B25">
        <w:rPr>
          <w:rFonts w:eastAsia="Times New Roman"/>
          <w:sz w:val="20"/>
          <w:szCs w:val="20"/>
        </w:rPr>
        <w:t>Chandler, C. T., Munday, R., Tunnell, J. W., &amp; Windham, R</w:t>
      </w:r>
      <w:r w:rsidRPr="006D7B25">
        <w:rPr>
          <w:rFonts w:eastAsia="Times New Roman"/>
          <w:i/>
          <w:iCs/>
          <w:sz w:val="20"/>
          <w:szCs w:val="20"/>
        </w:rPr>
        <w:t xml:space="preserve">. </w:t>
      </w:r>
      <w:r w:rsidRPr="006D7B25">
        <w:rPr>
          <w:rFonts w:eastAsia="Times New Roman"/>
          <w:sz w:val="20"/>
          <w:szCs w:val="20"/>
        </w:rPr>
        <w:t xml:space="preserve">(1993). Orton-Gillingham: A reading </w:t>
      </w:r>
    </w:p>
    <w:p w:rsidR="00650394" w:rsidRPr="006D7B25" w:rsidRDefault="00650394" w:rsidP="004B3530">
      <w:pPr>
        <w:autoSpaceDE w:val="0"/>
        <w:autoSpaceDN w:val="0"/>
        <w:adjustRightInd w:val="0"/>
        <w:jc w:val="both"/>
        <w:rPr>
          <w:sz w:val="20"/>
          <w:szCs w:val="20"/>
        </w:rPr>
      </w:pPr>
      <w:r w:rsidRPr="006D7B25">
        <w:rPr>
          <w:rFonts w:eastAsia="Times New Roman"/>
          <w:sz w:val="20"/>
          <w:szCs w:val="20"/>
        </w:rPr>
        <w:t xml:space="preserve">strategy revisited. </w:t>
      </w:r>
      <w:r w:rsidRPr="006D7B25">
        <w:rPr>
          <w:rFonts w:eastAsia="Times New Roman"/>
          <w:i/>
          <w:iCs/>
          <w:sz w:val="20"/>
          <w:szCs w:val="20"/>
        </w:rPr>
        <w:t xml:space="preserve">Reading Improvement, 30, </w:t>
      </w:r>
      <w:r w:rsidRPr="006D7B25">
        <w:rPr>
          <w:rFonts w:eastAsia="Times New Roman"/>
          <w:sz w:val="20"/>
          <w:szCs w:val="20"/>
        </w:rPr>
        <w:t>59–64.</w:t>
      </w:r>
    </w:p>
    <w:p w:rsidR="00570B16" w:rsidRPr="006D7B25" w:rsidRDefault="00570B16" w:rsidP="006D7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6D7B25">
        <w:rPr>
          <w:sz w:val="20"/>
          <w:szCs w:val="20"/>
        </w:rPr>
        <w:t xml:space="preserve">Cohen, J. (1988).  </w:t>
      </w:r>
      <w:r w:rsidRPr="006D7B25">
        <w:rPr>
          <w:i/>
          <w:sz w:val="20"/>
          <w:szCs w:val="20"/>
        </w:rPr>
        <w:t>Statistical power for the behavioral sciences (2nd ed.).</w:t>
      </w:r>
      <w:r w:rsidRPr="006D7B25">
        <w:rPr>
          <w:sz w:val="20"/>
          <w:szCs w:val="20"/>
        </w:rPr>
        <w:t xml:space="preserve"> Hillsdale, NJ: Erlbaum. </w:t>
      </w:r>
    </w:p>
    <w:p w:rsidR="00570B16" w:rsidRPr="006D7B25" w:rsidRDefault="00570B16" w:rsidP="004B3530">
      <w:pPr>
        <w:autoSpaceDE w:val="0"/>
        <w:autoSpaceDN w:val="0"/>
        <w:adjustRightInd w:val="0"/>
        <w:jc w:val="both"/>
        <w:rPr>
          <w:rFonts w:eastAsia="Times New Roman"/>
          <w:sz w:val="20"/>
          <w:szCs w:val="20"/>
        </w:rPr>
      </w:pPr>
      <w:r w:rsidRPr="006D7B25">
        <w:rPr>
          <w:rFonts w:eastAsia="Times New Roman"/>
          <w:sz w:val="20"/>
          <w:szCs w:val="20"/>
        </w:rPr>
        <w:t xml:space="preserve">Curtis, M. B. (2002). </w:t>
      </w:r>
      <w:r w:rsidRPr="006D7B25">
        <w:rPr>
          <w:rFonts w:eastAsia="Times New Roman"/>
          <w:i/>
          <w:iCs/>
          <w:sz w:val="20"/>
          <w:szCs w:val="20"/>
        </w:rPr>
        <w:t xml:space="preserve">Adolescent reading: A synthesis of research. </w:t>
      </w:r>
      <w:r w:rsidRPr="006D7B25">
        <w:rPr>
          <w:rFonts w:eastAsia="Times New Roman"/>
          <w:sz w:val="20"/>
          <w:szCs w:val="20"/>
        </w:rPr>
        <w:t>Boston: Lesley College, The Center for Special Education.</w:t>
      </w:r>
    </w:p>
    <w:p w:rsidR="00570B16" w:rsidRPr="006D7B25" w:rsidRDefault="00570B16" w:rsidP="004B3530">
      <w:pPr>
        <w:autoSpaceDE w:val="0"/>
        <w:autoSpaceDN w:val="0"/>
        <w:adjustRightInd w:val="0"/>
        <w:jc w:val="both"/>
        <w:rPr>
          <w:sz w:val="20"/>
          <w:szCs w:val="20"/>
        </w:rPr>
      </w:pPr>
      <w:r w:rsidRPr="006D7B25">
        <w:rPr>
          <w:sz w:val="20"/>
          <w:szCs w:val="20"/>
        </w:rPr>
        <w:t>Daly, E. J., &amp; Martens, B. K. (1994). A comparison of three interventi</w:t>
      </w:r>
      <w:r w:rsidR="004B3530">
        <w:rPr>
          <w:sz w:val="20"/>
          <w:szCs w:val="20"/>
        </w:rPr>
        <w:t xml:space="preserve">ons for increasing oral reading </w:t>
      </w:r>
      <w:r w:rsidRPr="006D7B25">
        <w:rPr>
          <w:sz w:val="20"/>
          <w:szCs w:val="20"/>
        </w:rPr>
        <w:t xml:space="preserve">performance: Application of the instructional hierarchy. </w:t>
      </w:r>
      <w:r w:rsidRPr="006D7B25">
        <w:rPr>
          <w:i/>
          <w:iCs/>
          <w:sz w:val="20"/>
          <w:szCs w:val="20"/>
        </w:rPr>
        <w:t>Journa</w:t>
      </w:r>
      <w:r w:rsidR="004B3530">
        <w:rPr>
          <w:i/>
          <w:iCs/>
          <w:sz w:val="20"/>
          <w:szCs w:val="20"/>
        </w:rPr>
        <w:t xml:space="preserve">l of Applied Behavior Analysis,   </w:t>
      </w:r>
      <w:r w:rsidRPr="006D7B25">
        <w:rPr>
          <w:i/>
          <w:iCs/>
          <w:sz w:val="20"/>
          <w:szCs w:val="20"/>
        </w:rPr>
        <w:t>27</w:t>
      </w:r>
      <w:r w:rsidRPr="006D7B25">
        <w:rPr>
          <w:sz w:val="20"/>
          <w:szCs w:val="20"/>
        </w:rPr>
        <w:t>, 459-469.</w:t>
      </w:r>
    </w:p>
    <w:p w:rsidR="007B52FB" w:rsidRPr="006D7B25" w:rsidRDefault="007B52FB" w:rsidP="004B3530">
      <w:pPr>
        <w:jc w:val="both"/>
        <w:rPr>
          <w:sz w:val="20"/>
          <w:szCs w:val="20"/>
        </w:rPr>
      </w:pPr>
      <w:r w:rsidRPr="006D7B25">
        <w:rPr>
          <w:sz w:val="20"/>
          <w:szCs w:val="20"/>
        </w:rPr>
        <w:t xml:space="preserve">Dev, P.C., Doyle, B.A., &amp; Valente, B. (2002). Labels needn't stick: "At-risk" first graders rescued with appropriate intervention. </w:t>
      </w:r>
      <w:r w:rsidRPr="006D7B25">
        <w:rPr>
          <w:i/>
          <w:sz w:val="20"/>
          <w:szCs w:val="20"/>
        </w:rPr>
        <w:t>Journal of Education for Students Placed at Risk, 7</w:t>
      </w:r>
      <w:r w:rsidRPr="006D7B25">
        <w:rPr>
          <w:sz w:val="20"/>
          <w:szCs w:val="20"/>
        </w:rPr>
        <w:t>, 327 – 332</w:t>
      </w:r>
      <w:r w:rsidR="00251C24" w:rsidRPr="006D7B25">
        <w:rPr>
          <w:sz w:val="20"/>
          <w:szCs w:val="20"/>
        </w:rPr>
        <w:t>.</w:t>
      </w:r>
    </w:p>
    <w:p w:rsidR="00570B16" w:rsidRPr="006D7B25" w:rsidRDefault="00570B16" w:rsidP="004B3530">
      <w:pPr>
        <w:jc w:val="both"/>
        <w:rPr>
          <w:sz w:val="20"/>
          <w:szCs w:val="20"/>
        </w:rPr>
      </w:pPr>
      <w:r w:rsidRPr="006D7B25">
        <w:rPr>
          <w:sz w:val="20"/>
          <w:szCs w:val="20"/>
        </w:rPr>
        <w:t xml:space="preserve">Ehren, B. (2009). Looking through an adolescent literacy lens at the narrow view of reading. </w:t>
      </w:r>
      <w:r w:rsidR="004B3530">
        <w:rPr>
          <w:i/>
          <w:sz w:val="20"/>
          <w:szCs w:val="20"/>
        </w:rPr>
        <w:t xml:space="preserve">Language, </w:t>
      </w:r>
      <w:r w:rsidRPr="006D7B25">
        <w:rPr>
          <w:i/>
          <w:sz w:val="20"/>
          <w:szCs w:val="20"/>
        </w:rPr>
        <w:t>Speech, &amp; Hearing Services in Schools, 40</w:t>
      </w:r>
      <w:r w:rsidRPr="006D7B25">
        <w:rPr>
          <w:sz w:val="20"/>
          <w:szCs w:val="20"/>
        </w:rPr>
        <w:t xml:space="preserve">, 192-195. </w:t>
      </w:r>
    </w:p>
    <w:p w:rsidR="00570B16" w:rsidRPr="006D7B25" w:rsidRDefault="00570B16" w:rsidP="004B3530">
      <w:pPr>
        <w:jc w:val="both"/>
        <w:rPr>
          <w:sz w:val="20"/>
          <w:szCs w:val="20"/>
        </w:rPr>
      </w:pPr>
      <w:r w:rsidRPr="006D7B25">
        <w:rPr>
          <w:sz w:val="20"/>
          <w:szCs w:val="20"/>
        </w:rPr>
        <w:t xml:space="preserve">Ehren, B. J., Lenz, B. K., &amp; Deshler, D. D. (2006). </w:t>
      </w:r>
      <w:r w:rsidR="003709B3" w:rsidRPr="006D7B25">
        <w:rPr>
          <w:sz w:val="20"/>
          <w:szCs w:val="20"/>
        </w:rPr>
        <w:t>Enhancing</w:t>
      </w:r>
      <w:r w:rsidRPr="006D7B25">
        <w:rPr>
          <w:sz w:val="20"/>
          <w:szCs w:val="20"/>
        </w:rPr>
        <w:t xml:space="preserve"> literacy proficiency with adolescents and young adults. In C. A. Sone, E. R. Silliman, B. J. Ehren, &amp; K. Apel (Eds.), </w:t>
      </w:r>
      <w:r w:rsidRPr="006D7B25">
        <w:rPr>
          <w:i/>
          <w:sz w:val="20"/>
          <w:szCs w:val="20"/>
        </w:rPr>
        <w:t>Handbook of language &amp; literacy</w:t>
      </w:r>
      <w:r w:rsidRPr="006D7B25">
        <w:rPr>
          <w:sz w:val="20"/>
          <w:szCs w:val="20"/>
        </w:rPr>
        <w:t xml:space="preserve"> (pp. 681-701). New York: The Guilford Press. </w:t>
      </w:r>
    </w:p>
    <w:p w:rsidR="00570B16" w:rsidRPr="006D7B25" w:rsidRDefault="00570B16" w:rsidP="004B3530">
      <w:pPr>
        <w:autoSpaceDE w:val="0"/>
        <w:autoSpaceDN w:val="0"/>
        <w:adjustRightInd w:val="0"/>
        <w:jc w:val="both"/>
        <w:rPr>
          <w:color w:val="000000"/>
          <w:sz w:val="20"/>
          <w:szCs w:val="20"/>
        </w:rPr>
      </w:pPr>
      <w:r w:rsidRPr="006D7B25">
        <w:rPr>
          <w:color w:val="000000"/>
          <w:sz w:val="20"/>
          <w:szCs w:val="20"/>
        </w:rPr>
        <w:t>Fisher, D., &amp; Frey, N. (2007). Implementing a schoolwide literacy f</w:t>
      </w:r>
      <w:r w:rsidR="004B3530">
        <w:rPr>
          <w:color w:val="000000"/>
          <w:sz w:val="20"/>
          <w:szCs w:val="20"/>
        </w:rPr>
        <w:t xml:space="preserve">ramework: Improving achievement </w:t>
      </w:r>
      <w:r w:rsidRPr="006D7B25">
        <w:rPr>
          <w:color w:val="000000"/>
          <w:sz w:val="20"/>
          <w:szCs w:val="20"/>
        </w:rPr>
        <w:t xml:space="preserve">in an urban elementary school. </w:t>
      </w:r>
      <w:r w:rsidRPr="006D7B25">
        <w:rPr>
          <w:i/>
          <w:iCs/>
          <w:color w:val="000000"/>
          <w:sz w:val="20"/>
          <w:szCs w:val="20"/>
        </w:rPr>
        <w:t>The Reading Teacher,</w:t>
      </w:r>
      <w:r w:rsidRPr="006D7B25">
        <w:rPr>
          <w:i/>
          <w:color w:val="000000"/>
          <w:sz w:val="20"/>
          <w:szCs w:val="20"/>
        </w:rPr>
        <w:t> </w:t>
      </w:r>
      <w:r w:rsidRPr="006D7B25">
        <w:rPr>
          <w:rStyle w:val="volume5"/>
          <w:b w:val="0"/>
          <w:i/>
          <w:color w:val="000000"/>
          <w:sz w:val="20"/>
          <w:szCs w:val="20"/>
        </w:rPr>
        <w:t>61</w:t>
      </w:r>
      <w:r w:rsidRPr="006D7B25">
        <w:rPr>
          <w:rStyle w:val="volume5"/>
          <w:b w:val="0"/>
          <w:color w:val="000000"/>
          <w:sz w:val="20"/>
          <w:szCs w:val="20"/>
        </w:rPr>
        <w:t>(1)</w:t>
      </w:r>
      <w:r w:rsidRPr="006D7B25">
        <w:rPr>
          <w:color w:val="000000"/>
          <w:sz w:val="20"/>
          <w:szCs w:val="20"/>
        </w:rPr>
        <w:t>, 32-43.</w:t>
      </w:r>
    </w:p>
    <w:p w:rsidR="00570B16" w:rsidRPr="006D7B25" w:rsidRDefault="00570B16" w:rsidP="006D7B25">
      <w:pPr>
        <w:autoSpaceDE w:val="0"/>
        <w:autoSpaceDN w:val="0"/>
        <w:adjustRightInd w:val="0"/>
        <w:jc w:val="both"/>
        <w:rPr>
          <w:bCs/>
          <w:color w:val="000000"/>
          <w:sz w:val="20"/>
          <w:szCs w:val="20"/>
        </w:rPr>
      </w:pPr>
      <w:r w:rsidRPr="006D7B25">
        <w:rPr>
          <w:sz w:val="20"/>
          <w:szCs w:val="20"/>
        </w:rPr>
        <w:t xml:space="preserve">Foorman, B. R., &amp; Torgesen, J. (2001). </w:t>
      </w:r>
      <w:r w:rsidRPr="006D7B25">
        <w:rPr>
          <w:bCs/>
          <w:color w:val="000000"/>
          <w:sz w:val="20"/>
          <w:szCs w:val="20"/>
        </w:rPr>
        <w:t xml:space="preserve">Critical elements of classroom and small-group instruction </w:t>
      </w:r>
    </w:p>
    <w:p w:rsidR="00570B16" w:rsidRPr="006D7B25" w:rsidRDefault="004B3530" w:rsidP="006D7B25">
      <w:pPr>
        <w:autoSpaceDE w:val="0"/>
        <w:autoSpaceDN w:val="0"/>
        <w:adjustRightInd w:val="0"/>
        <w:jc w:val="both"/>
        <w:rPr>
          <w:sz w:val="20"/>
          <w:szCs w:val="20"/>
        </w:rPr>
      </w:pPr>
      <w:r>
        <w:rPr>
          <w:bCs/>
          <w:color w:val="000000"/>
          <w:sz w:val="20"/>
          <w:szCs w:val="20"/>
        </w:rPr>
        <w:t xml:space="preserve"> </w:t>
      </w:r>
      <w:r w:rsidR="00570B16" w:rsidRPr="006D7B25">
        <w:rPr>
          <w:bCs/>
          <w:color w:val="000000"/>
          <w:sz w:val="20"/>
          <w:szCs w:val="20"/>
        </w:rPr>
        <w:t xml:space="preserve">promote reading success in all children. </w:t>
      </w:r>
      <w:r w:rsidR="00570B16" w:rsidRPr="006D7B25">
        <w:rPr>
          <w:i/>
          <w:sz w:val="20"/>
          <w:szCs w:val="20"/>
        </w:rPr>
        <w:t>Learning Disabilities Research &amp; Practice, 16(</w:t>
      </w:r>
      <w:r w:rsidR="00570B16" w:rsidRPr="006D7B25">
        <w:rPr>
          <w:sz w:val="20"/>
          <w:szCs w:val="20"/>
        </w:rPr>
        <w:t>4), 203-212.</w:t>
      </w:r>
    </w:p>
    <w:p w:rsidR="00570B16" w:rsidRPr="006D7B25" w:rsidRDefault="00570B16" w:rsidP="006D7B25">
      <w:pPr>
        <w:autoSpaceDE w:val="0"/>
        <w:autoSpaceDN w:val="0"/>
        <w:adjustRightInd w:val="0"/>
        <w:jc w:val="both"/>
        <w:rPr>
          <w:sz w:val="20"/>
          <w:szCs w:val="20"/>
        </w:rPr>
      </w:pPr>
      <w:r w:rsidRPr="006D7B25">
        <w:rPr>
          <w:sz w:val="20"/>
          <w:szCs w:val="20"/>
        </w:rPr>
        <w:t xml:space="preserve">Gaskins, I., Cuncelli, E., &amp; Satlow, E. (1992). Implementing an across-the-curriculum strategies </w:t>
      </w:r>
    </w:p>
    <w:p w:rsidR="00570B16" w:rsidRPr="006D7B25" w:rsidRDefault="00570B16" w:rsidP="004B3530">
      <w:pPr>
        <w:autoSpaceDE w:val="0"/>
        <w:autoSpaceDN w:val="0"/>
        <w:adjustRightInd w:val="0"/>
        <w:jc w:val="both"/>
        <w:rPr>
          <w:i/>
          <w:sz w:val="20"/>
          <w:szCs w:val="20"/>
        </w:rPr>
      </w:pPr>
      <w:r w:rsidRPr="006D7B25">
        <w:rPr>
          <w:sz w:val="20"/>
          <w:szCs w:val="20"/>
        </w:rPr>
        <w:t xml:space="preserve">program: Reaction to change. In J. Pressley, K. Harris, &amp; J. Guthrie (Eds.), </w:t>
      </w:r>
      <w:r w:rsidRPr="006D7B25">
        <w:rPr>
          <w:i/>
          <w:sz w:val="20"/>
          <w:szCs w:val="20"/>
        </w:rPr>
        <w:t>Promoting academic competence and literacy in school</w:t>
      </w:r>
      <w:r w:rsidRPr="006D7B25">
        <w:rPr>
          <w:sz w:val="20"/>
          <w:szCs w:val="20"/>
        </w:rPr>
        <w:t xml:space="preserve"> (pp. 411-426). Boston: Academic Press.</w:t>
      </w:r>
    </w:p>
    <w:p w:rsidR="00E27E07" w:rsidRPr="006D7B25" w:rsidRDefault="00E27E07" w:rsidP="006D7B25">
      <w:pPr>
        <w:autoSpaceDE w:val="0"/>
        <w:autoSpaceDN w:val="0"/>
        <w:adjustRightInd w:val="0"/>
        <w:jc w:val="both"/>
        <w:rPr>
          <w:rFonts w:eastAsia="Times New Roman"/>
          <w:i/>
          <w:iCs/>
          <w:sz w:val="20"/>
          <w:szCs w:val="20"/>
        </w:rPr>
      </w:pPr>
      <w:r w:rsidRPr="006D7B25">
        <w:rPr>
          <w:rFonts w:eastAsia="Times New Roman"/>
          <w:sz w:val="20"/>
          <w:szCs w:val="20"/>
        </w:rPr>
        <w:t>Gillingham,</w:t>
      </w:r>
      <w:r w:rsidR="00D5383C" w:rsidRPr="006D7B25">
        <w:rPr>
          <w:rFonts w:eastAsia="Times New Roman"/>
          <w:sz w:val="20"/>
          <w:szCs w:val="20"/>
        </w:rPr>
        <w:t xml:space="preserve"> </w:t>
      </w:r>
      <w:r w:rsidRPr="006D7B25">
        <w:rPr>
          <w:rFonts w:eastAsia="Times New Roman"/>
          <w:sz w:val="20"/>
          <w:szCs w:val="20"/>
        </w:rPr>
        <w:t xml:space="preserve">A., &amp; Stillman, B. W. (1960). </w:t>
      </w:r>
      <w:r w:rsidRPr="006D7B25">
        <w:rPr>
          <w:rFonts w:eastAsia="Times New Roman"/>
          <w:i/>
          <w:iCs/>
          <w:sz w:val="20"/>
          <w:szCs w:val="20"/>
        </w:rPr>
        <w:t xml:space="preserve">Remedial training for children with specific disability in </w:t>
      </w:r>
    </w:p>
    <w:p w:rsidR="00E27E07" w:rsidRPr="006D7B25" w:rsidRDefault="00E27E07" w:rsidP="004B3530">
      <w:pPr>
        <w:autoSpaceDE w:val="0"/>
        <w:autoSpaceDN w:val="0"/>
        <w:adjustRightInd w:val="0"/>
        <w:jc w:val="both"/>
        <w:rPr>
          <w:sz w:val="20"/>
          <w:szCs w:val="20"/>
        </w:rPr>
      </w:pPr>
      <w:r w:rsidRPr="006D7B25">
        <w:rPr>
          <w:rFonts w:eastAsia="Times New Roman"/>
          <w:i/>
          <w:iCs/>
          <w:sz w:val="20"/>
          <w:szCs w:val="20"/>
        </w:rPr>
        <w:t>reading, spelling, and penmanship</w:t>
      </w:r>
      <w:r w:rsidRPr="006D7B25">
        <w:rPr>
          <w:rFonts w:eastAsia="Times New Roman"/>
          <w:sz w:val="20"/>
          <w:szCs w:val="20"/>
        </w:rPr>
        <w:t>. Cambridge, MA: Educators Publishing Service.</w:t>
      </w:r>
    </w:p>
    <w:p w:rsidR="00570B16" w:rsidRPr="006D7B25" w:rsidRDefault="00570B16" w:rsidP="004B3530">
      <w:pPr>
        <w:autoSpaceDE w:val="0"/>
        <w:autoSpaceDN w:val="0"/>
        <w:adjustRightInd w:val="0"/>
        <w:jc w:val="both"/>
        <w:rPr>
          <w:sz w:val="20"/>
          <w:szCs w:val="20"/>
        </w:rPr>
      </w:pPr>
      <w:r w:rsidRPr="006D7B25">
        <w:rPr>
          <w:sz w:val="20"/>
          <w:szCs w:val="20"/>
        </w:rPr>
        <w:t xml:space="preserve">Grigg, W. S., Daane, M. C., Ying, J., &amp; Campbell, J. R. (2003). </w:t>
      </w:r>
      <w:r w:rsidRPr="006D7B25">
        <w:rPr>
          <w:i/>
          <w:sz w:val="20"/>
          <w:szCs w:val="20"/>
        </w:rPr>
        <w:t>The nation’s report card: Reading 2002.</w:t>
      </w:r>
      <w:r w:rsidR="004B3530">
        <w:rPr>
          <w:sz w:val="20"/>
          <w:szCs w:val="20"/>
        </w:rPr>
        <w:t xml:space="preserve"> </w:t>
      </w:r>
      <w:r w:rsidRPr="006D7B25">
        <w:rPr>
          <w:sz w:val="20"/>
          <w:szCs w:val="20"/>
        </w:rPr>
        <w:t>Washington, D.C.: U.S. Department of Education, Institute of Education Sciences. National Center for Education Statistics.</w:t>
      </w:r>
    </w:p>
    <w:p w:rsidR="00570B16" w:rsidRPr="006D7B25" w:rsidRDefault="00570B16" w:rsidP="006D7B25">
      <w:pPr>
        <w:autoSpaceDE w:val="0"/>
        <w:autoSpaceDN w:val="0"/>
        <w:adjustRightInd w:val="0"/>
        <w:jc w:val="both"/>
        <w:rPr>
          <w:rFonts w:eastAsia="Times New Roman"/>
          <w:sz w:val="20"/>
          <w:szCs w:val="20"/>
        </w:rPr>
      </w:pPr>
      <w:r w:rsidRPr="006D7B25">
        <w:rPr>
          <w:rFonts w:eastAsia="Times New Roman"/>
          <w:sz w:val="20"/>
          <w:szCs w:val="20"/>
        </w:rPr>
        <w:t>Guthrie, J. T., &amp; Wigfield, A. (2000). Engagement and motivation in reading. In M. L. Kamil,</w:t>
      </w:r>
    </w:p>
    <w:p w:rsidR="00570B16" w:rsidRPr="006D7B25" w:rsidRDefault="00570B16" w:rsidP="004B3530">
      <w:pPr>
        <w:autoSpaceDE w:val="0"/>
        <w:autoSpaceDN w:val="0"/>
        <w:adjustRightInd w:val="0"/>
        <w:jc w:val="both"/>
        <w:rPr>
          <w:rFonts w:eastAsia="Times New Roman"/>
          <w:sz w:val="20"/>
          <w:szCs w:val="20"/>
        </w:rPr>
      </w:pPr>
      <w:r w:rsidRPr="006D7B25">
        <w:rPr>
          <w:rFonts w:eastAsia="Times New Roman"/>
          <w:sz w:val="20"/>
          <w:szCs w:val="20"/>
        </w:rPr>
        <w:t xml:space="preserve">P. B. Mosenthal, P. D. Pearson, &amp; R. Barr (Eds.), </w:t>
      </w:r>
      <w:r w:rsidRPr="006D7B25">
        <w:rPr>
          <w:rFonts w:eastAsia="Times New Roman"/>
          <w:i/>
          <w:sz w:val="20"/>
          <w:szCs w:val="20"/>
        </w:rPr>
        <w:t>Handbook of reading research</w:t>
      </w:r>
      <w:r w:rsidRPr="006D7B25">
        <w:rPr>
          <w:rFonts w:eastAsia="Times New Roman"/>
          <w:sz w:val="20"/>
          <w:szCs w:val="20"/>
        </w:rPr>
        <w:t xml:space="preserve"> (Vol. 3,</w:t>
      </w:r>
    </w:p>
    <w:p w:rsidR="00570B16" w:rsidRPr="006D7B25" w:rsidRDefault="00570B16" w:rsidP="004B3530">
      <w:pPr>
        <w:autoSpaceDE w:val="0"/>
        <w:autoSpaceDN w:val="0"/>
        <w:adjustRightInd w:val="0"/>
        <w:jc w:val="both"/>
        <w:rPr>
          <w:sz w:val="20"/>
          <w:szCs w:val="20"/>
          <w:lang w:val="es-ES"/>
        </w:rPr>
      </w:pPr>
      <w:r w:rsidRPr="006D7B25">
        <w:rPr>
          <w:rFonts w:eastAsia="Times New Roman"/>
          <w:sz w:val="20"/>
          <w:szCs w:val="20"/>
          <w:lang w:val="es-ES"/>
        </w:rPr>
        <w:t>pp. 403-422). Mahwah, NJ: Erlbaum.</w:t>
      </w:r>
    </w:p>
    <w:p w:rsidR="00570B16" w:rsidRPr="006D7B25" w:rsidRDefault="00570B16" w:rsidP="004B3530">
      <w:pPr>
        <w:jc w:val="both"/>
        <w:rPr>
          <w:sz w:val="20"/>
          <w:szCs w:val="20"/>
        </w:rPr>
      </w:pPr>
      <w:r w:rsidRPr="006D7B25">
        <w:rPr>
          <w:sz w:val="20"/>
          <w:szCs w:val="20"/>
          <w:lang w:val="es-ES"/>
        </w:rPr>
        <w:t xml:space="preserve">Guyer, B. P., &amp; Sabatino, D. (1989). </w:t>
      </w:r>
      <w:r w:rsidRPr="006D7B25">
        <w:rPr>
          <w:sz w:val="20"/>
          <w:szCs w:val="20"/>
        </w:rPr>
        <w:t>The effectiveness of a multisenso</w:t>
      </w:r>
      <w:r w:rsidR="004B3530">
        <w:rPr>
          <w:sz w:val="20"/>
          <w:szCs w:val="20"/>
        </w:rPr>
        <w:t xml:space="preserve">ry alphabetic phonetic approach </w:t>
      </w:r>
      <w:r w:rsidRPr="006D7B25">
        <w:rPr>
          <w:sz w:val="20"/>
          <w:szCs w:val="20"/>
        </w:rPr>
        <w:t xml:space="preserve">with college students who are learning disabled. </w:t>
      </w:r>
      <w:r w:rsidRPr="006D7B25">
        <w:rPr>
          <w:i/>
          <w:sz w:val="20"/>
          <w:szCs w:val="20"/>
        </w:rPr>
        <w:t>Journal of Learning Disabilities, 22,</w:t>
      </w:r>
      <w:r w:rsidRPr="006D7B25">
        <w:rPr>
          <w:sz w:val="20"/>
          <w:szCs w:val="20"/>
        </w:rPr>
        <w:t xml:space="preserve"> 430-434.</w:t>
      </w:r>
    </w:p>
    <w:p w:rsidR="00A25869" w:rsidRPr="006D7B25" w:rsidRDefault="00A25869" w:rsidP="006D7B25">
      <w:pPr>
        <w:autoSpaceDE w:val="0"/>
        <w:autoSpaceDN w:val="0"/>
        <w:adjustRightInd w:val="0"/>
        <w:jc w:val="both"/>
        <w:rPr>
          <w:sz w:val="20"/>
          <w:szCs w:val="20"/>
        </w:rPr>
      </w:pPr>
      <w:r w:rsidRPr="006D7B25">
        <w:rPr>
          <w:sz w:val="20"/>
          <w:szCs w:val="20"/>
        </w:rPr>
        <w:t xml:space="preserve">Haslum, M. N. (2007). What kind of evidence do we need for evaluating therapeutic interventions? </w:t>
      </w:r>
    </w:p>
    <w:p w:rsidR="00A25869" w:rsidRPr="006D7B25" w:rsidRDefault="00A25869" w:rsidP="004B3530">
      <w:pPr>
        <w:autoSpaceDE w:val="0"/>
        <w:autoSpaceDN w:val="0"/>
        <w:adjustRightInd w:val="0"/>
        <w:jc w:val="both"/>
        <w:rPr>
          <w:sz w:val="20"/>
          <w:szCs w:val="20"/>
        </w:rPr>
      </w:pPr>
      <w:r w:rsidRPr="006D7B25">
        <w:rPr>
          <w:i/>
          <w:sz w:val="20"/>
          <w:szCs w:val="20"/>
        </w:rPr>
        <w:t>Dyslexia, 13</w:t>
      </w:r>
      <w:r w:rsidRPr="006D7B25">
        <w:rPr>
          <w:sz w:val="20"/>
          <w:szCs w:val="20"/>
        </w:rPr>
        <w:t>, 234-239.</w:t>
      </w:r>
    </w:p>
    <w:p w:rsidR="00570B16" w:rsidRPr="006D7B25" w:rsidRDefault="00570B16" w:rsidP="004B3530">
      <w:pPr>
        <w:autoSpaceDE w:val="0"/>
        <w:autoSpaceDN w:val="0"/>
        <w:adjustRightInd w:val="0"/>
        <w:jc w:val="both"/>
        <w:rPr>
          <w:sz w:val="20"/>
          <w:szCs w:val="20"/>
        </w:rPr>
      </w:pPr>
      <w:r w:rsidRPr="006D7B25">
        <w:rPr>
          <w:sz w:val="20"/>
          <w:szCs w:val="20"/>
        </w:rPr>
        <w:t>Hiebert, E. H., &amp; Taylor, B. M. (2000). Beginning reading instruction: R</w:t>
      </w:r>
      <w:r w:rsidR="004B3530">
        <w:rPr>
          <w:sz w:val="20"/>
          <w:szCs w:val="20"/>
        </w:rPr>
        <w:t xml:space="preserve">esearch on early interventions. </w:t>
      </w:r>
      <w:r w:rsidRPr="006D7B25">
        <w:rPr>
          <w:sz w:val="20"/>
          <w:szCs w:val="20"/>
        </w:rPr>
        <w:t xml:space="preserve">In M. L. Kamil, P. B. Mosenthal, P. D. Pearson, &amp; R. Barr (Eds.), </w:t>
      </w:r>
      <w:r w:rsidRPr="006D7B25">
        <w:rPr>
          <w:i/>
          <w:iCs/>
          <w:sz w:val="20"/>
          <w:szCs w:val="20"/>
        </w:rPr>
        <w:t xml:space="preserve">Handbook of reading research: Volume III </w:t>
      </w:r>
      <w:r w:rsidRPr="006D7B25">
        <w:rPr>
          <w:sz w:val="20"/>
          <w:szCs w:val="20"/>
        </w:rPr>
        <w:t>(pp. 455–482). Mahwah, NJ: Lawrence Erlbaum Associates, Inc.</w:t>
      </w:r>
    </w:p>
    <w:p w:rsidR="00570B16" w:rsidRPr="006D7B25" w:rsidRDefault="00570B16" w:rsidP="006D7B25">
      <w:pPr>
        <w:autoSpaceDE w:val="0"/>
        <w:autoSpaceDN w:val="0"/>
        <w:adjustRightInd w:val="0"/>
        <w:ind w:left="720" w:hanging="720"/>
        <w:jc w:val="both"/>
        <w:rPr>
          <w:sz w:val="20"/>
          <w:szCs w:val="20"/>
        </w:rPr>
      </w:pPr>
      <w:r w:rsidRPr="006D7B25">
        <w:rPr>
          <w:sz w:val="20"/>
          <w:szCs w:val="20"/>
        </w:rPr>
        <w:t xml:space="preserve">Hock, M. F., &amp; Deshler, D. D. (2003). Don’t forget the adolescents. </w:t>
      </w:r>
      <w:r w:rsidRPr="006D7B25">
        <w:rPr>
          <w:i/>
          <w:sz w:val="20"/>
          <w:szCs w:val="20"/>
        </w:rPr>
        <w:t>Principal Leadership, 4</w:t>
      </w:r>
      <w:r w:rsidRPr="006D7B25">
        <w:rPr>
          <w:sz w:val="20"/>
          <w:szCs w:val="20"/>
        </w:rPr>
        <w:t>(30), 50-57.</w:t>
      </w:r>
    </w:p>
    <w:p w:rsidR="00886DA1" w:rsidRPr="006D7B25" w:rsidRDefault="00886DA1" w:rsidP="004B3530">
      <w:pPr>
        <w:autoSpaceDE w:val="0"/>
        <w:autoSpaceDN w:val="0"/>
        <w:adjustRightInd w:val="0"/>
        <w:jc w:val="both"/>
        <w:rPr>
          <w:rFonts w:eastAsia="Times New Roman"/>
          <w:sz w:val="20"/>
          <w:szCs w:val="20"/>
        </w:rPr>
      </w:pPr>
      <w:r w:rsidRPr="006D7B25">
        <w:rPr>
          <w:rFonts w:eastAsia="Times New Roman"/>
          <w:sz w:val="20"/>
          <w:szCs w:val="20"/>
        </w:rPr>
        <w:t>Hook, P., Macaruso, P., &amp; Jones, S. (2001). Efficacy of Fast ForWord train</w:t>
      </w:r>
      <w:r w:rsidR="004B3530">
        <w:rPr>
          <w:rFonts w:eastAsia="Times New Roman"/>
          <w:sz w:val="20"/>
          <w:szCs w:val="20"/>
        </w:rPr>
        <w:t xml:space="preserve">ing on facilitating acquisition </w:t>
      </w:r>
      <w:r w:rsidRPr="006D7B25">
        <w:rPr>
          <w:rFonts w:eastAsia="Times New Roman"/>
          <w:sz w:val="20"/>
          <w:szCs w:val="20"/>
        </w:rPr>
        <w:t xml:space="preserve">of reading skills by children with reading difficulties: A longitudinal study. </w:t>
      </w:r>
      <w:r w:rsidRPr="006D7B25">
        <w:rPr>
          <w:rFonts w:eastAsia="Times New Roman"/>
          <w:i/>
          <w:iCs/>
          <w:sz w:val="20"/>
          <w:szCs w:val="20"/>
        </w:rPr>
        <w:t xml:space="preserve">Annals of Dyslexia, 51, </w:t>
      </w:r>
      <w:r w:rsidRPr="006D7B25">
        <w:rPr>
          <w:rFonts w:eastAsia="Times New Roman"/>
          <w:sz w:val="20"/>
          <w:szCs w:val="20"/>
        </w:rPr>
        <w:t>75–96.</w:t>
      </w:r>
    </w:p>
    <w:p w:rsidR="003E5A41" w:rsidRPr="006D7B25" w:rsidRDefault="003E5A41" w:rsidP="004B3530">
      <w:pPr>
        <w:autoSpaceDE w:val="0"/>
        <w:autoSpaceDN w:val="0"/>
        <w:adjustRightInd w:val="0"/>
        <w:jc w:val="both"/>
        <w:rPr>
          <w:rFonts w:eastAsia="Times New Roman"/>
          <w:sz w:val="20"/>
          <w:szCs w:val="20"/>
        </w:rPr>
      </w:pPr>
      <w:r w:rsidRPr="006D7B25">
        <w:rPr>
          <w:sz w:val="20"/>
          <w:szCs w:val="20"/>
        </w:rPr>
        <w:t xml:space="preserve">Humphrey, N., Bartolo, P., Ale, P., Calleja, C., Hofsaess, T., Janikova, V., Mol Lous, A., Vikiene, V., &amp; Wetso, G. (2006, August). Understanding and responding to diversity in the primary classroom: an international study. </w:t>
      </w:r>
      <w:r w:rsidRPr="006D7B25">
        <w:rPr>
          <w:rStyle w:val="yshortcuts"/>
          <w:i/>
          <w:sz w:val="20"/>
          <w:szCs w:val="20"/>
        </w:rPr>
        <w:t>European Journal of Teacher Education</w:t>
      </w:r>
      <w:r w:rsidRPr="006D7B25">
        <w:rPr>
          <w:i/>
          <w:sz w:val="20"/>
          <w:szCs w:val="20"/>
        </w:rPr>
        <w:t>, 29</w:t>
      </w:r>
      <w:r w:rsidRPr="006D7B25">
        <w:rPr>
          <w:sz w:val="20"/>
          <w:szCs w:val="20"/>
        </w:rPr>
        <w:t>(3)</w:t>
      </w:r>
      <w:r w:rsidR="00CC5E97" w:rsidRPr="006D7B25">
        <w:rPr>
          <w:sz w:val="20"/>
          <w:szCs w:val="20"/>
        </w:rPr>
        <w:t>,</w:t>
      </w:r>
      <w:r w:rsidRPr="006D7B25">
        <w:rPr>
          <w:sz w:val="20"/>
          <w:szCs w:val="20"/>
        </w:rPr>
        <w:t xml:space="preserve"> 305-318.</w:t>
      </w:r>
    </w:p>
    <w:p w:rsidR="00CC5E97" w:rsidRPr="004B3530" w:rsidRDefault="00570B16" w:rsidP="004B3530">
      <w:pPr>
        <w:autoSpaceDE w:val="0"/>
        <w:autoSpaceDN w:val="0"/>
        <w:adjustRightInd w:val="0"/>
        <w:jc w:val="both"/>
        <w:rPr>
          <w:sz w:val="20"/>
          <w:szCs w:val="20"/>
        </w:rPr>
      </w:pPr>
      <w:r w:rsidRPr="006D7B25">
        <w:rPr>
          <w:sz w:val="20"/>
          <w:szCs w:val="20"/>
        </w:rPr>
        <w:t xml:space="preserve">Kastle, C. F., Campbell, A., Finn, J. D., Johnson, S. T., &amp; Mikulecky, L. H. (2001). </w:t>
      </w:r>
      <w:r w:rsidRPr="006D7B25">
        <w:rPr>
          <w:i/>
          <w:sz w:val="20"/>
          <w:szCs w:val="20"/>
        </w:rPr>
        <w:t>Adult literacy and education in America: Four studies based on the National Adult Literacy Survey.</w:t>
      </w:r>
      <w:r w:rsidRPr="006D7B25">
        <w:rPr>
          <w:sz w:val="20"/>
          <w:szCs w:val="20"/>
        </w:rPr>
        <w:t xml:space="preserve"> Washington, DC: U.S. Department of Education, National Center for Education Statistics.</w:t>
      </w:r>
    </w:p>
    <w:p w:rsidR="00570B16" w:rsidRPr="006D7B25" w:rsidRDefault="00570B16" w:rsidP="004B3530">
      <w:pPr>
        <w:autoSpaceDE w:val="0"/>
        <w:autoSpaceDN w:val="0"/>
        <w:adjustRightInd w:val="0"/>
        <w:jc w:val="both"/>
        <w:rPr>
          <w:sz w:val="20"/>
          <w:szCs w:val="20"/>
        </w:rPr>
      </w:pPr>
      <w:r w:rsidRPr="006D7B25">
        <w:rPr>
          <w:sz w:val="20"/>
          <w:szCs w:val="20"/>
        </w:rPr>
        <w:t xml:space="preserve">Kibby, M. W. (1995). </w:t>
      </w:r>
      <w:r w:rsidRPr="006D7B25">
        <w:rPr>
          <w:i/>
          <w:sz w:val="20"/>
          <w:szCs w:val="20"/>
        </w:rPr>
        <w:t>Student literacy: Myths and realities.</w:t>
      </w:r>
      <w:r w:rsidRPr="006D7B25">
        <w:rPr>
          <w:sz w:val="20"/>
          <w:szCs w:val="20"/>
        </w:rPr>
        <w:t xml:space="preserve"> Bloomington, IN: Phi Delta Kappa </w:t>
      </w:r>
    </w:p>
    <w:p w:rsidR="00570B16" w:rsidRPr="006D7B25" w:rsidRDefault="004B3530" w:rsidP="004B3530">
      <w:pPr>
        <w:autoSpaceDE w:val="0"/>
        <w:autoSpaceDN w:val="0"/>
        <w:adjustRightInd w:val="0"/>
        <w:jc w:val="both"/>
        <w:rPr>
          <w:sz w:val="20"/>
          <w:szCs w:val="20"/>
        </w:rPr>
      </w:pPr>
      <w:r>
        <w:rPr>
          <w:sz w:val="20"/>
          <w:szCs w:val="20"/>
        </w:rPr>
        <w:t xml:space="preserve"> </w:t>
      </w:r>
      <w:r w:rsidR="00570B16" w:rsidRPr="006D7B25">
        <w:rPr>
          <w:sz w:val="20"/>
          <w:szCs w:val="20"/>
        </w:rPr>
        <w:t>Educational Foundation.</w:t>
      </w:r>
    </w:p>
    <w:p w:rsidR="009C454F" w:rsidRPr="006D7B25" w:rsidRDefault="009C454F" w:rsidP="006D7B25">
      <w:pPr>
        <w:autoSpaceDE w:val="0"/>
        <w:autoSpaceDN w:val="0"/>
        <w:adjustRightInd w:val="0"/>
        <w:jc w:val="both"/>
        <w:rPr>
          <w:sz w:val="20"/>
          <w:szCs w:val="20"/>
        </w:rPr>
      </w:pPr>
      <w:r w:rsidRPr="006D7B25">
        <w:rPr>
          <w:sz w:val="20"/>
          <w:szCs w:val="20"/>
        </w:rPr>
        <w:t xml:space="preserve">Koutsoftas, A. D., Harmon, M. T., &amp; Gray, S. (2009). The effect of tier 2 intervention for phonemic </w:t>
      </w:r>
    </w:p>
    <w:p w:rsidR="009C454F" w:rsidRPr="006D7B25" w:rsidRDefault="009C454F" w:rsidP="004B3530">
      <w:pPr>
        <w:autoSpaceDE w:val="0"/>
        <w:autoSpaceDN w:val="0"/>
        <w:adjustRightInd w:val="0"/>
        <w:jc w:val="both"/>
        <w:rPr>
          <w:sz w:val="20"/>
          <w:szCs w:val="20"/>
        </w:rPr>
      </w:pPr>
      <w:r w:rsidRPr="006D7B25">
        <w:rPr>
          <w:sz w:val="20"/>
          <w:szCs w:val="20"/>
        </w:rPr>
        <w:t xml:space="preserve">awareness in a response-to-intervention model in low-income preschool classrooms. </w:t>
      </w:r>
      <w:r w:rsidRPr="006D7B25">
        <w:rPr>
          <w:i/>
          <w:sz w:val="20"/>
          <w:szCs w:val="20"/>
        </w:rPr>
        <w:t xml:space="preserve"> Language, Speech, and Hearing Services in Schools</w:t>
      </w:r>
      <w:r w:rsidR="00DB5713" w:rsidRPr="006D7B25">
        <w:rPr>
          <w:i/>
          <w:sz w:val="20"/>
          <w:szCs w:val="20"/>
        </w:rPr>
        <w:t>,</w:t>
      </w:r>
      <w:r w:rsidRPr="006D7B25">
        <w:rPr>
          <w:i/>
          <w:sz w:val="20"/>
          <w:szCs w:val="20"/>
        </w:rPr>
        <w:t xml:space="preserve"> 40</w:t>
      </w:r>
      <w:r w:rsidRPr="006D7B25">
        <w:rPr>
          <w:sz w:val="20"/>
          <w:szCs w:val="20"/>
        </w:rPr>
        <w:t>, 116-130.</w:t>
      </w:r>
    </w:p>
    <w:p w:rsidR="00570B16" w:rsidRPr="006D7B25" w:rsidRDefault="00570B16" w:rsidP="004B3530">
      <w:pPr>
        <w:autoSpaceDE w:val="0"/>
        <w:autoSpaceDN w:val="0"/>
        <w:adjustRightInd w:val="0"/>
        <w:jc w:val="both"/>
        <w:rPr>
          <w:sz w:val="20"/>
          <w:szCs w:val="20"/>
        </w:rPr>
      </w:pPr>
      <w:r w:rsidRPr="006D7B25">
        <w:rPr>
          <w:sz w:val="20"/>
          <w:szCs w:val="20"/>
        </w:rPr>
        <w:t xml:space="preserve">Larson, V., &amp; McKinley, N. (1995). </w:t>
      </w:r>
      <w:r w:rsidRPr="006D7B25">
        <w:rPr>
          <w:i/>
          <w:sz w:val="20"/>
          <w:szCs w:val="20"/>
        </w:rPr>
        <w:t>Language disorders in older students</w:t>
      </w:r>
      <w:r w:rsidR="004B3530">
        <w:rPr>
          <w:sz w:val="20"/>
          <w:szCs w:val="20"/>
        </w:rPr>
        <w:t xml:space="preserve">. Eau Claire, WI: Thinking </w:t>
      </w:r>
      <w:r w:rsidRPr="006D7B25">
        <w:rPr>
          <w:sz w:val="20"/>
          <w:szCs w:val="20"/>
        </w:rPr>
        <w:t>Publications.</w:t>
      </w:r>
    </w:p>
    <w:p w:rsidR="00570B16" w:rsidRPr="006D7B25" w:rsidRDefault="00570B16" w:rsidP="004B3530">
      <w:pPr>
        <w:jc w:val="both"/>
        <w:rPr>
          <w:sz w:val="20"/>
          <w:szCs w:val="20"/>
        </w:rPr>
      </w:pPr>
      <w:r w:rsidRPr="006D7B25">
        <w:rPr>
          <w:sz w:val="20"/>
          <w:szCs w:val="20"/>
          <w:lang w:val="es-ES"/>
        </w:rPr>
        <w:t xml:space="preserve">Lenz, B. K., Ehren, B. J., &amp; Deshler, D. D. (2005). </w:t>
      </w:r>
      <w:r w:rsidRPr="006D7B25">
        <w:rPr>
          <w:sz w:val="20"/>
          <w:szCs w:val="20"/>
        </w:rPr>
        <w:t xml:space="preserve">The content literacy continuum: A school reform framework for improving adolescent literacy for all students. </w:t>
      </w:r>
      <w:r w:rsidRPr="006D7B25">
        <w:rPr>
          <w:i/>
          <w:sz w:val="20"/>
          <w:szCs w:val="20"/>
        </w:rPr>
        <w:t>Teaching Exceptional Children, 37</w:t>
      </w:r>
      <w:r w:rsidRPr="006D7B25">
        <w:rPr>
          <w:sz w:val="20"/>
          <w:szCs w:val="20"/>
        </w:rPr>
        <w:t xml:space="preserve">, 60-63. </w:t>
      </w:r>
    </w:p>
    <w:p w:rsidR="00570B16" w:rsidRPr="006D7B25" w:rsidRDefault="00570B16" w:rsidP="006D7B25">
      <w:pPr>
        <w:autoSpaceDE w:val="0"/>
        <w:autoSpaceDN w:val="0"/>
        <w:adjustRightInd w:val="0"/>
        <w:jc w:val="both"/>
        <w:rPr>
          <w:sz w:val="20"/>
          <w:szCs w:val="20"/>
        </w:rPr>
      </w:pPr>
      <w:r w:rsidRPr="006D7B25">
        <w:rPr>
          <w:sz w:val="20"/>
          <w:szCs w:val="20"/>
        </w:rPr>
        <w:t xml:space="preserve">Lenz, B. K., &amp; Hughes, C. A. (1990). A word identification strategy for adolescents with learning </w:t>
      </w:r>
    </w:p>
    <w:p w:rsidR="00570B16" w:rsidRPr="006D7B25" w:rsidRDefault="00570B16" w:rsidP="006D7B25">
      <w:pPr>
        <w:autoSpaceDE w:val="0"/>
        <w:autoSpaceDN w:val="0"/>
        <w:adjustRightInd w:val="0"/>
        <w:jc w:val="both"/>
        <w:rPr>
          <w:sz w:val="20"/>
          <w:szCs w:val="20"/>
        </w:rPr>
      </w:pPr>
      <w:r w:rsidRPr="006D7B25">
        <w:rPr>
          <w:sz w:val="20"/>
          <w:szCs w:val="20"/>
        </w:rPr>
        <w:t xml:space="preserve">disabilities. </w:t>
      </w:r>
      <w:r w:rsidRPr="006D7B25">
        <w:rPr>
          <w:i/>
          <w:sz w:val="20"/>
          <w:szCs w:val="20"/>
        </w:rPr>
        <w:t>Journal of Learning Disabilities, 23</w:t>
      </w:r>
      <w:r w:rsidRPr="006D7B25">
        <w:rPr>
          <w:sz w:val="20"/>
          <w:szCs w:val="20"/>
        </w:rPr>
        <w:t>(3), 149-158.</w:t>
      </w:r>
    </w:p>
    <w:p w:rsidR="00570B16" w:rsidRPr="006D7B25" w:rsidRDefault="00570B16" w:rsidP="004B3530">
      <w:pPr>
        <w:autoSpaceDE w:val="0"/>
        <w:autoSpaceDN w:val="0"/>
        <w:adjustRightInd w:val="0"/>
        <w:jc w:val="both"/>
        <w:rPr>
          <w:sz w:val="20"/>
          <w:szCs w:val="20"/>
        </w:rPr>
      </w:pPr>
      <w:r w:rsidRPr="006D7B25">
        <w:rPr>
          <w:sz w:val="20"/>
          <w:szCs w:val="20"/>
        </w:rPr>
        <w:t>Lovett, M. W., &amp; Steinbach, K. A. (1997). The effectiveness of remedia</w:t>
      </w:r>
      <w:r w:rsidR="004B3530">
        <w:rPr>
          <w:sz w:val="20"/>
          <w:szCs w:val="20"/>
        </w:rPr>
        <w:t xml:space="preserve">l programs for reading disabled </w:t>
      </w:r>
      <w:r w:rsidRPr="006D7B25">
        <w:rPr>
          <w:sz w:val="20"/>
          <w:szCs w:val="20"/>
        </w:rPr>
        <w:t xml:space="preserve">children of different ages: Does the benefit decrease for older children? </w:t>
      </w:r>
      <w:r w:rsidRPr="006D7B25">
        <w:rPr>
          <w:i/>
          <w:sz w:val="20"/>
          <w:szCs w:val="20"/>
        </w:rPr>
        <w:t>Learning Disabilities Quarterly, 20</w:t>
      </w:r>
      <w:r w:rsidRPr="006D7B25">
        <w:rPr>
          <w:sz w:val="20"/>
          <w:szCs w:val="20"/>
        </w:rPr>
        <w:t>, 189-210.</w:t>
      </w:r>
    </w:p>
    <w:p w:rsidR="00570B16" w:rsidRPr="006D7B25" w:rsidRDefault="00570B16" w:rsidP="004B3530">
      <w:pPr>
        <w:autoSpaceDE w:val="0"/>
        <w:autoSpaceDN w:val="0"/>
        <w:adjustRightInd w:val="0"/>
        <w:jc w:val="both"/>
        <w:rPr>
          <w:sz w:val="20"/>
          <w:szCs w:val="20"/>
        </w:rPr>
      </w:pPr>
      <w:r w:rsidRPr="006D7B25">
        <w:rPr>
          <w:sz w:val="20"/>
          <w:szCs w:val="20"/>
        </w:rPr>
        <w:t xml:space="preserve">Lyon, G. R. (1997). Testimony of G. Reid Lyon on Children's Literacy. American Psychological </w:t>
      </w:r>
    </w:p>
    <w:p w:rsidR="00570B16" w:rsidRPr="006D7B25" w:rsidRDefault="00570B16" w:rsidP="004B3530">
      <w:pPr>
        <w:autoSpaceDE w:val="0"/>
        <w:autoSpaceDN w:val="0"/>
        <w:adjustRightInd w:val="0"/>
        <w:jc w:val="both"/>
        <w:rPr>
          <w:sz w:val="20"/>
          <w:szCs w:val="20"/>
        </w:rPr>
      </w:pPr>
      <w:r w:rsidRPr="006D7B25">
        <w:rPr>
          <w:sz w:val="20"/>
          <w:szCs w:val="20"/>
        </w:rPr>
        <w:t>Association (APA Science Advocacy), Before the Committee on Edu</w:t>
      </w:r>
      <w:r w:rsidR="004B3530">
        <w:rPr>
          <w:sz w:val="20"/>
          <w:szCs w:val="20"/>
        </w:rPr>
        <w:t xml:space="preserve">cation and the Workforce, U. S. </w:t>
      </w:r>
      <w:r w:rsidRPr="006D7B25">
        <w:rPr>
          <w:sz w:val="20"/>
          <w:szCs w:val="20"/>
        </w:rPr>
        <w:t>House of Representatives, Washington, D. C., Thursday, July 10, 1997 (pp. 1-9).</w:t>
      </w:r>
    </w:p>
    <w:p w:rsidR="00570B16" w:rsidRPr="006D7B25" w:rsidRDefault="00570B16" w:rsidP="006D7B25">
      <w:pPr>
        <w:autoSpaceDE w:val="0"/>
        <w:autoSpaceDN w:val="0"/>
        <w:adjustRightInd w:val="0"/>
        <w:jc w:val="both"/>
        <w:rPr>
          <w:sz w:val="20"/>
          <w:szCs w:val="20"/>
        </w:rPr>
      </w:pPr>
      <w:r w:rsidRPr="006D7B25">
        <w:rPr>
          <w:sz w:val="20"/>
          <w:szCs w:val="20"/>
        </w:rPr>
        <w:t xml:space="preserve">Mastropieri, M. A., Leinart, A., &amp; Scruggs, T. E. (1999). Strategies to increase reading fluency. </w:t>
      </w:r>
    </w:p>
    <w:p w:rsidR="00570B16" w:rsidRPr="006D7B25" w:rsidRDefault="00570B16" w:rsidP="006D7B25">
      <w:pPr>
        <w:autoSpaceDE w:val="0"/>
        <w:autoSpaceDN w:val="0"/>
        <w:adjustRightInd w:val="0"/>
        <w:jc w:val="both"/>
        <w:rPr>
          <w:sz w:val="20"/>
          <w:szCs w:val="20"/>
        </w:rPr>
      </w:pPr>
      <w:r w:rsidRPr="006D7B25">
        <w:rPr>
          <w:i/>
          <w:iCs/>
          <w:sz w:val="20"/>
          <w:szCs w:val="20"/>
        </w:rPr>
        <w:t>Intervention in School &amp; Clinic, 34</w:t>
      </w:r>
      <w:r w:rsidRPr="006D7B25">
        <w:rPr>
          <w:sz w:val="20"/>
          <w:szCs w:val="20"/>
        </w:rPr>
        <w:t>(5), 278-283, 292.</w:t>
      </w:r>
    </w:p>
    <w:p w:rsidR="00CC5E97" w:rsidRPr="006D7B25" w:rsidRDefault="00570B16" w:rsidP="006D7B25">
      <w:pPr>
        <w:autoSpaceDE w:val="0"/>
        <w:autoSpaceDN w:val="0"/>
        <w:adjustRightInd w:val="0"/>
        <w:jc w:val="both"/>
        <w:rPr>
          <w:sz w:val="20"/>
          <w:szCs w:val="20"/>
        </w:rPr>
      </w:pPr>
      <w:r w:rsidRPr="006D7B25">
        <w:rPr>
          <w:sz w:val="20"/>
          <w:szCs w:val="20"/>
        </w:rPr>
        <w:t xml:space="preserve">McCandliss, B., Beck, I., Sendak, R., &amp; Perfetti, C. (2003). Focusing attention on decoding for </w:t>
      </w:r>
    </w:p>
    <w:p w:rsidR="00CC5E97" w:rsidRPr="006D7B25" w:rsidRDefault="00570B16" w:rsidP="004B3530">
      <w:pPr>
        <w:autoSpaceDE w:val="0"/>
        <w:autoSpaceDN w:val="0"/>
        <w:adjustRightInd w:val="0"/>
        <w:jc w:val="both"/>
        <w:rPr>
          <w:sz w:val="20"/>
          <w:szCs w:val="20"/>
        </w:rPr>
      </w:pPr>
      <w:r w:rsidRPr="006D7B25">
        <w:rPr>
          <w:sz w:val="20"/>
          <w:szCs w:val="20"/>
        </w:rPr>
        <w:t xml:space="preserve">children with poor reading skills: Design and preliminary tests of the Word Building intervention. </w:t>
      </w:r>
      <w:r w:rsidRPr="006D7B25">
        <w:rPr>
          <w:i/>
          <w:sz w:val="20"/>
          <w:szCs w:val="20"/>
        </w:rPr>
        <w:t>Scientific Studies of Reading, 7</w:t>
      </w:r>
      <w:r w:rsidRPr="006D7B25">
        <w:rPr>
          <w:sz w:val="20"/>
          <w:szCs w:val="20"/>
        </w:rPr>
        <w:t>, 75-104.</w:t>
      </w:r>
    </w:p>
    <w:p w:rsidR="00CC5E97" w:rsidRPr="006D7B25" w:rsidRDefault="00570B16" w:rsidP="006D7B25">
      <w:pPr>
        <w:autoSpaceDE w:val="0"/>
        <w:autoSpaceDN w:val="0"/>
        <w:adjustRightInd w:val="0"/>
        <w:jc w:val="both"/>
        <w:rPr>
          <w:sz w:val="20"/>
          <w:szCs w:val="20"/>
        </w:rPr>
      </w:pPr>
      <w:r w:rsidRPr="006D7B25">
        <w:rPr>
          <w:sz w:val="20"/>
          <w:szCs w:val="20"/>
        </w:rPr>
        <w:t xml:space="preserve">Mercer, C. D., Campbell, K. U., Miller, M. D., Mercer, K. D., &amp; Lane, H. B. (2000). Effects of a </w:t>
      </w:r>
    </w:p>
    <w:p w:rsidR="00D666C4" w:rsidRPr="006D7B25" w:rsidRDefault="00570B16" w:rsidP="004B3530">
      <w:pPr>
        <w:autoSpaceDE w:val="0"/>
        <w:autoSpaceDN w:val="0"/>
        <w:adjustRightInd w:val="0"/>
        <w:jc w:val="both"/>
        <w:rPr>
          <w:sz w:val="20"/>
          <w:szCs w:val="20"/>
        </w:rPr>
      </w:pPr>
      <w:r w:rsidRPr="006D7B25">
        <w:rPr>
          <w:sz w:val="20"/>
          <w:szCs w:val="20"/>
        </w:rPr>
        <w:t>reading fluency intervention for middle schoolers with specific learning disabilities.</w:t>
      </w:r>
      <w:r w:rsidR="004B3530">
        <w:rPr>
          <w:sz w:val="20"/>
          <w:szCs w:val="20"/>
        </w:rPr>
        <w:t xml:space="preserve"> </w:t>
      </w:r>
      <w:r w:rsidRPr="006D7B25">
        <w:rPr>
          <w:i/>
          <w:iCs/>
          <w:sz w:val="20"/>
          <w:szCs w:val="20"/>
        </w:rPr>
        <w:t>Learning Disabilities Research &amp; Practice, 15</w:t>
      </w:r>
      <w:r w:rsidRPr="006D7B25">
        <w:rPr>
          <w:sz w:val="20"/>
          <w:szCs w:val="20"/>
        </w:rPr>
        <w:t>(4), 179-189.</w:t>
      </w:r>
    </w:p>
    <w:p w:rsidR="00D666C4" w:rsidRPr="006D7B25" w:rsidRDefault="00D666C4" w:rsidP="006D7B25">
      <w:pPr>
        <w:autoSpaceDE w:val="0"/>
        <w:autoSpaceDN w:val="0"/>
        <w:adjustRightInd w:val="0"/>
        <w:ind w:left="720" w:hanging="720"/>
        <w:jc w:val="both"/>
        <w:rPr>
          <w:sz w:val="20"/>
          <w:szCs w:val="20"/>
        </w:rPr>
      </w:pPr>
      <w:r w:rsidRPr="006D7B25">
        <w:rPr>
          <w:sz w:val="20"/>
          <w:szCs w:val="20"/>
        </w:rPr>
        <w:t xml:space="preserve">Moats, L. C. (2000). </w:t>
      </w:r>
      <w:r w:rsidRPr="006D7B25">
        <w:rPr>
          <w:i/>
          <w:sz w:val="20"/>
          <w:szCs w:val="20"/>
        </w:rPr>
        <w:t>Speech to print. Language essentials for teachers.</w:t>
      </w:r>
      <w:r w:rsidRPr="006D7B25">
        <w:rPr>
          <w:sz w:val="20"/>
          <w:szCs w:val="20"/>
        </w:rPr>
        <w:t xml:space="preserve"> Baltimore, MD: Paul H. Brookes.</w:t>
      </w:r>
    </w:p>
    <w:p w:rsidR="00570B16" w:rsidRPr="006D7B25" w:rsidRDefault="00570B16" w:rsidP="004B3530">
      <w:pPr>
        <w:autoSpaceDE w:val="0"/>
        <w:autoSpaceDN w:val="0"/>
        <w:adjustRightInd w:val="0"/>
        <w:jc w:val="both"/>
        <w:rPr>
          <w:sz w:val="20"/>
          <w:szCs w:val="20"/>
        </w:rPr>
      </w:pPr>
      <w:r w:rsidRPr="006D7B25">
        <w:rPr>
          <w:sz w:val="20"/>
          <w:szCs w:val="20"/>
        </w:rPr>
        <w:t xml:space="preserve">Moore, D. W., Bean, T. W., Birdyshaw, D., &amp; Rycik, J. A. (1999). Adolescent literacy: A position </w:t>
      </w:r>
    </w:p>
    <w:p w:rsidR="00570B16" w:rsidRPr="006D7B25" w:rsidRDefault="00570B16" w:rsidP="004B3530">
      <w:pPr>
        <w:autoSpaceDE w:val="0"/>
        <w:autoSpaceDN w:val="0"/>
        <w:adjustRightInd w:val="0"/>
        <w:jc w:val="both"/>
        <w:rPr>
          <w:sz w:val="20"/>
          <w:szCs w:val="20"/>
        </w:rPr>
      </w:pPr>
      <w:r w:rsidRPr="006D7B25">
        <w:rPr>
          <w:sz w:val="20"/>
          <w:szCs w:val="20"/>
        </w:rPr>
        <w:t xml:space="preserve">statement for the Commission on adolescent literacy of the International Reading Association. </w:t>
      </w:r>
      <w:r w:rsidR="004B3530">
        <w:rPr>
          <w:i/>
          <w:sz w:val="20"/>
          <w:szCs w:val="20"/>
        </w:rPr>
        <w:t xml:space="preserve">Journal </w:t>
      </w:r>
      <w:r w:rsidRPr="006D7B25">
        <w:rPr>
          <w:i/>
          <w:sz w:val="20"/>
          <w:szCs w:val="20"/>
        </w:rPr>
        <w:t>of Adolescent and Adult Literacy, 43</w:t>
      </w:r>
      <w:r w:rsidRPr="006D7B25">
        <w:rPr>
          <w:sz w:val="20"/>
          <w:szCs w:val="20"/>
        </w:rPr>
        <w:t>(1), 97-112.</w:t>
      </w:r>
    </w:p>
    <w:p w:rsidR="00E9472B" w:rsidRPr="006D7B25" w:rsidRDefault="00E9472B" w:rsidP="004B3530">
      <w:pPr>
        <w:autoSpaceDE w:val="0"/>
        <w:autoSpaceDN w:val="0"/>
        <w:adjustRightInd w:val="0"/>
        <w:jc w:val="both"/>
        <w:rPr>
          <w:sz w:val="20"/>
          <w:szCs w:val="20"/>
        </w:rPr>
      </w:pPr>
      <w:r w:rsidRPr="006D7B25">
        <w:rPr>
          <w:sz w:val="20"/>
          <w:szCs w:val="20"/>
        </w:rPr>
        <w:t>National Institutes of Health (2010). Learning disabilities. Retrieved from http://www.nichd.nih.gov/health/topics/learning_disabilities.cfm</w:t>
      </w:r>
    </w:p>
    <w:p w:rsidR="00E9472B" w:rsidRPr="006D7B25" w:rsidRDefault="00570B16" w:rsidP="004B3530">
      <w:pPr>
        <w:autoSpaceDE w:val="0"/>
        <w:autoSpaceDN w:val="0"/>
        <w:adjustRightInd w:val="0"/>
        <w:jc w:val="both"/>
        <w:rPr>
          <w:i/>
          <w:iCs/>
          <w:sz w:val="20"/>
          <w:szCs w:val="20"/>
        </w:rPr>
      </w:pPr>
      <w:r w:rsidRPr="006D7B25">
        <w:rPr>
          <w:sz w:val="20"/>
          <w:szCs w:val="20"/>
        </w:rPr>
        <w:t xml:space="preserve">National Reading Panel. (2000). </w:t>
      </w:r>
      <w:r w:rsidRPr="006D7B25">
        <w:rPr>
          <w:i/>
          <w:iCs/>
          <w:sz w:val="20"/>
          <w:szCs w:val="20"/>
        </w:rPr>
        <w:t>Report of the national reading panel: Teaching students to read: An</w:t>
      </w:r>
      <w:r w:rsidR="004B3530">
        <w:rPr>
          <w:i/>
          <w:iCs/>
          <w:sz w:val="20"/>
          <w:szCs w:val="20"/>
        </w:rPr>
        <w:t xml:space="preserve"> </w:t>
      </w:r>
      <w:r w:rsidRPr="006D7B25">
        <w:rPr>
          <w:i/>
          <w:iCs/>
          <w:sz w:val="20"/>
          <w:szCs w:val="20"/>
        </w:rPr>
        <w:t>evidence-based assessment of the scientific research literature on reading and its implications for reading instruction: Reports of the subgroups</w:t>
      </w:r>
      <w:r w:rsidRPr="006D7B25">
        <w:rPr>
          <w:sz w:val="20"/>
          <w:szCs w:val="20"/>
        </w:rPr>
        <w:t>. Bethesda, MD: National Institute of Child Health and Human Development, National Institutes of Health.</w:t>
      </w:r>
    </w:p>
    <w:p w:rsidR="00570B16" w:rsidRPr="006D7B25" w:rsidRDefault="00570B16" w:rsidP="004B3530">
      <w:pPr>
        <w:jc w:val="both"/>
        <w:rPr>
          <w:sz w:val="20"/>
          <w:szCs w:val="20"/>
        </w:rPr>
      </w:pPr>
      <w:r w:rsidRPr="006D7B25">
        <w:rPr>
          <w:sz w:val="20"/>
          <w:szCs w:val="20"/>
        </w:rPr>
        <w:t>O’Connor, R. E.</w:t>
      </w:r>
      <w:r w:rsidR="00BF45C4" w:rsidRPr="006D7B25">
        <w:rPr>
          <w:sz w:val="20"/>
          <w:szCs w:val="20"/>
        </w:rPr>
        <w:t>,</w:t>
      </w:r>
      <w:r w:rsidRPr="006D7B25">
        <w:rPr>
          <w:sz w:val="20"/>
          <w:szCs w:val="20"/>
        </w:rPr>
        <w:t xml:space="preserve"> &amp; Bell, K. M. (2006). Teaching students with reading disability to read words. In C. A. Stone, E. R. Silliman, B. J. Ehren, &amp; K. Apel (Eds.), </w:t>
      </w:r>
      <w:r w:rsidRPr="006D7B25">
        <w:rPr>
          <w:i/>
          <w:sz w:val="20"/>
          <w:szCs w:val="20"/>
        </w:rPr>
        <w:t>Handbook of language &amp; literacy</w:t>
      </w:r>
      <w:r w:rsidRPr="006D7B25">
        <w:rPr>
          <w:sz w:val="20"/>
          <w:szCs w:val="20"/>
        </w:rPr>
        <w:t xml:space="preserve"> (pp. 481-498). New York: The Guilford Press. </w:t>
      </w:r>
    </w:p>
    <w:p w:rsidR="00570B16" w:rsidRPr="006D7B25" w:rsidRDefault="00570B16" w:rsidP="004B3530">
      <w:pPr>
        <w:autoSpaceDE w:val="0"/>
        <w:autoSpaceDN w:val="0"/>
        <w:adjustRightInd w:val="0"/>
        <w:jc w:val="both"/>
        <w:rPr>
          <w:sz w:val="20"/>
          <w:szCs w:val="20"/>
        </w:rPr>
      </w:pPr>
      <w:r w:rsidRPr="006D7B25">
        <w:rPr>
          <w:sz w:val="20"/>
          <w:szCs w:val="20"/>
        </w:rPr>
        <w:t xml:space="preserve">Persky, H. R., Daane, M. C., &amp; Jin, Y. (2003). </w:t>
      </w:r>
      <w:r w:rsidRPr="006D7B25">
        <w:rPr>
          <w:i/>
          <w:sz w:val="20"/>
          <w:szCs w:val="20"/>
        </w:rPr>
        <w:t>The nation’s report card: Reading 2002.</w:t>
      </w:r>
      <w:r w:rsidRPr="006D7B25">
        <w:rPr>
          <w:sz w:val="20"/>
          <w:szCs w:val="20"/>
        </w:rPr>
        <w:t xml:space="preserve"> Washington, D.C.: U.S. Department of Education, Institute of Education Sciences. National Center for Education Statistics.</w:t>
      </w:r>
    </w:p>
    <w:p w:rsidR="00570B16" w:rsidRPr="006D7B25" w:rsidRDefault="00570B16" w:rsidP="006D7B25">
      <w:pPr>
        <w:autoSpaceDE w:val="0"/>
        <w:autoSpaceDN w:val="0"/>
        <w:adjustRightInd w:val="0"/>
        <w:jc w:val="both"/>
        <w:rPr>
          <w:iCs/>
          <w:sz w:val="20"/>
          <w:szCs w:val="20"/>
        </w:rPr>
      </w:pPr>
      <w:r w:rsidRPr="006D7B25">
        <w:rPr>
          <w:iCs/>
          <w:sz w:val="20"/>
          <w:szCs w:val="20"/>
        </w:rPr>
        <w:t xml:space="preserve">Ritchey, K. D., &amp; Goeke, J. L. (2006). Orton-Gillingham and Orton-Gillingham-based reading </w:t>
      </w:r>
    </w:p>
    <w:p w:rsidR="00570B16" w:rsidRPr="006D7B25" w:rsidRDefault="00570B16" w:rsidP="004B3530">
      <w:pPr>
        <w:autoSpaceDE w:val="0"/>
        <w:autoSpaceDN w:val="0"/>
        <w:adjustRightInd w:val="0"/>
        <w:jc w:val="both"/>
        <w:rPr>
          <w:iCs/>
          <w:sz w:val="20"/>
          <w:szCs w:val="20"/>
        </w:rPr>
      </w:pPr>
      <w:r w:rsidRPr="006D7B25">
        <w:rPr>
          <w:iCs/>
          <w:sz w:val="20"/>
          <w:szCs w:val="20"/>
        </w:rPr>
        <w:t xml:space="preserve">instruction: A review of the literature. </w:t>
      </w:r>
      <w:r w:rsidRPr="006D7B25">
        <w:rPr>
          <w:i/>
          <w:iCs/>
          <w:sz w:val="20"/>
          <w:szCs w:val="20"/>
        </w:rPr>
        <w:t>The Journal of Special Education, 40</w:t>
      </w:r>
      <w:r w:rsidRPr="006D7B25">
        <w:rPr>
          <w:iCs/>
          <w:sz w:val="20"/>
          <w:szCs w:val="20"/>
        </w:rPr>
        <w:t>(3), 171-183.</w:t>
      </w:r>
    </w:p>
    <w:p w:rsidR="00570B16" w:rsidRPr="006D7B25" w:rsidRDefault="00570B16" w:rsidP="004B3530">
      <w:pPr>
        <w:jc w:val="both"/>
        <w:rPr>
          <w:sz w:val="20"/>
          <w:szCs w:val="20"/>
        </w:rPr>
      </w:pPr>
      <w:r w:rsidRPr="006D7B25">
        <w:rPr>
          <w:sz w:val="20"/>
          <w:szCs w:val="20"/>
        </w:rPr>
        <w:t xml:space="preserve">Roberts, </w:t>
      </w:r>
      <w:r w:rsidR="00C37132" w:rsidRPr="006D7B25">
        <w:rPr>
          <w:sz w:val="20"/>
          <w:szCs w:val="20"/>
        </w:rPr>
        <w:t xml:space="preserve">G., </w:t>
      </w:r>
      <w:r w:rsidRPr="006D7B25">
        <w:rPr>
          <w:sz w:val="20"/>
          <w:szCs w:val="20"/>
        </w:rPr>
        <w:t>Torgesen,</w:t>
      </w:r>
      <w:r w:rsidR="003709B3" w:rsidRPr="006D7B25">
        <w:rPr>
          <w:sz w:val="20"/>
          <w:szCs w:val="20"/>
        </w:rPr>
        <w:t xml:space="preserve"> </w:t>
      </w:r>
      <w:r w:rsidR="00C37132" w:rsidRPr="006D7B25">
        <w:rPr>
          <w:sz w:val="20"/>
          <w:szCs w:val="20"/>
        </w:rPr>
        <w:t>J.,</w:t>
      </w:r>
      <w:r w:rsidR="003709B3" w:rsidRPr="006D7B25">
        <w:rPr>
          <w:sz w:val="20"/>
          <w:szCs w:val="20"/>
        </w:rPr>
        <w:t xml:space="preserve"> </w:t>
      </w:r>
      <w:r w:rsidRPr="006D7B25">
        <w:rPr>
          <w:sz w:val="20"/>
          <w:szCs w:val="20"/>
        </w:rPr>
        <w:t xml:space="preserve">Boardman, </w:t>
      </w:r>
      <w:r w:rsidR="00C37132" w:rsidRPr="006D7B25">
        <w:rPr>
          <w:sz w:val="20"/>
          <w:szCs w:val="20"/>
        </w:rPr>
        <w:t xml:space="preserve">A. G., </w:t>
      </w:r>
      <w:r w:rsidR="00BA6507" w:rsidRPr="006D7B25">
        <w:rPr>
          <w:sz w:val="20"/>
          <w:szCs w:val="20"/>
        </w:rPr>
        <w:t>&amp;</w:t>
      </w:r>
      <w:r w:rsidRPr="006D7B25">
        <w:rPr>
          <w:sz w:val="20"/>
          <w:szCs w:val="20"/>
        </w:rPr>
        <w:t xml:space="preserve"> Scammacca</w:t>
      </w:r>
      <w:r w:rsidR="00C37132" w:rsidRPr="006D7B25">
        <w:rPr>
          <w:sz w:val="20"/>
          <w:szCs w:val="20"/>
        </w:rPr>
        <w:t>. N.</w:t>
      </w:r>
      <w:r w:rsidRPr="006D7B25">
        <w:rPr>
          <w:sz w:val="20"/>
          <w:szCs w:val="20"/>
        </w:rPr>
        <w:t xml:space="preserve"> (2008).</w:t>
      </w:r>
      <w:r w:rsidR="004B3530">
        <w:rPr>
          <w:sz w:val="20"/>
          <w:szCs w:val="20"/>
        </w:rPr>
        <w:t xml:space="preserve"> Evidence-based strategies for </w:t>
      </w:r>
      <w:r w:rsidRPr="006D7B25">
        <w:rPr>
          <w:sz w:val="20"/>
          <w:szCs w:val="20"/>
        </w:rPr>
        <w:t xml:space="preserve">reading instruction of older students with learning disabilities. </w:t>
      </w:r>
      <w:r w:rsidRPr="006D7B25">
        <w:rPr>
          <w:i/>
          <w:sz w:val="20"/>
          <w:szCs w:val="20"/>
        </w:rPr>
        <w:t>Learning Disabilities Research &amp; Practice, 23,</w:t>
      </w:r>
      <w:r w:rsidRPr="006D7B25">
        <w:rPr>
          <w:sz w:val="20"/>
          <w:szCs w:val="20"/>
        </w:rPr>
        <w:t xml:space="preserve"> 63-69.</w:t>
      </w:r>
    </w:p>
    <w:p w:rsidR="00570B16" w:rsidRPr="006D7B25" w:rsidRDefault="00570B16" w:rsidP="004B3530">
      <w:pPr>
        <w:jc w:val="both"/>
        <w:rPr>
          <w:sz w:val="20"/>
          <w:szCs w:val="20"/>
        </w:rPr>
      </w:pPr>
      <w:r w:rsidRPr="006D7B25">
        <w:rPr>
          <w:sz w:val="20"/>
          <w:szCs w:val="20"/>
        </w:rPr>
        <w:t xml:space="preserve">Rose, T. E., &amp; Zirkel, P. (2007). Orton-Gillingham methodology for students with reading disabilities. </w:t>
      </w:r>
      <w:r w:rsidRPr="006D7B25">
        <w:rPr>
          <w:i/>
          <w:sz w:val="20"/>
          <w:szCs w:val="20"/>
        </w:rPr>
        <w:t>The Journal of Special Education, 41</w:t>
      </w:r>
      <w:r w:rsidRPr="006D7B25">
        <w:rPr>
          <w:sz w:val="20"/>
          <w:szCs w:val="20"/>
        </w:rPr>
        <w:t>(3), 171-185.</w:t>
      </w:r>
    </w:p>
    <w:p w:rsidR="00D666C4" w:rsidRPr="006D7B25" w:rsidRDefault="00D666C4" w:rsidP="006D7B25">
      <w:pPr>
        <w:autoSpaceDE w:val="0"/>
        <w:autoSpaceDN w:val="0"/>
        <w:adjustRightInd w:val="0"/>
        <w:jc w:val="both"/>
        <w:rPr>
          <w:sz w:val="20"/>
          <w:szCs w:val="20"/>
        </w:rPr>
      </w:pPr>
      <w:r w:rsidRPr="006D7B25">
        <w:rPr>
          <w:sz w:val="20"/>
          <w:szCs w:val="20"/>
        </w:rPr>
        <w:t xml:space="preserve">Shankweiler, D. (1999). Words to meanings. </w:t>
      </w:r>
      <w:r w:rsidRPr="006D7B25">
        <w:rPr>
          <w:i/>
          <w:iCs/>
          <w:sz w:val="20"/>
          <w:szCs w:val="20"/>
        </w:rPr>
        <w:t>Scientific Studies of Reading, 3</w:t>
      </w:r>
      <w:r w:rsidRPr="006D7B25">
        <w:rPr>
          <w:sz w:val="20"/>
          <w:szCs w:val="20"/>
        </w:rPr>
        <w:t>, 113-127.</w:t>
      </w:r>
    </w:p>
    <w:p w:rsidR="00570B16" w:rsidRPr="006D7B25" w:rsidRDefault="00570B16" w:rsidP="006D7B25">
      <w:pPr>
        <w:autoSpaceDE w:val="0"/>
        <w:autoSpaceDN w:val="0"/>
        <w:adjustRightInd w:val="0"/>
        <w:jc w:val="both"/>
        <w:rPr>
          <w:sz w:val="20"/>
          <w:szCs w:val="20"/>
        </w:rPr>
      </w:pPr>
      <w:r w:rsidRPr="006D7B25">
        <w:rPr>
          <w:sz w:val="20"/>
          <w:szCs w:val="20"/>
        </w:rPr>
        <w:t xml:space="preserve">Shankweiler, D., Lundquist, E., Dreyer, L. G., &amp; Dickinson, C. C. (1996). Reading and spelling </w:t>
      </w:r>
    </w:p>
    <w:p w:rsidR="00570B16" w:rsidRPr="006D7B25" w:rsidRDefault="00570B16" w:rsidP="006D7B25">
      <w:pPr>
        <w:autoSpaceDE w:val="0"/>
        <w:autoSpaceDN w:val="0"/>
        <w:adjustRightInd w:val="0"/>
        <w:jc w:val="both"/>
        <w:rPr>
          <w:i/>
          <w:iCs/>
          <w:sz w:val="20"/>
          <w:szCs w:val="20"/>
        </w:rPr>
      </w:pPr>
      <w:r w:rsidRPr="006D7B25">
        <w:rPr>
          <w:sz w:val="20"/>
          <w:szCs w:val="20"/>
        </w:rPr>
        <w:t xml:space="preserve">difficulties in high school students: Causes and consequences. </w:t>
      </w:r>
      <w:r w:rsidRPr="006D7B25">
        <w:rPr>
          <w:i/>
          <w:iCs/>
          <w:sz w:val="20"/>
          <w:szCs w:val="20"/>
        </w:rPr>
        <w:t xml:space="preserve">Reading and Writing: An </w:t>
      </w:r>
    </w:p>
    <w:p w:rsidR="00570B16" w:rsidRPr="006D7B25" w:rsidRDefault="00570B16" w:rsidP="006D7B25">
      <w:pPr>
        <w:autoSpaceDE w:val="0"/>
        <w:autoSpaceDN w:val="0"/>
        <w:adjustRightInd w:val="0"/>
        <w:jc w:val="both"/>
        <w:rPr>
          <w:sz w:val="20"/>
          <w:szCs w:val="20"/>
        </w:rPr>
      </w:pPr>
      <w:r w:rsidRPr="006D7B25">
        <w:rPr>
          <w:i/>
          <w:iCs/>
          <w:sz w:val="20"/>
          <w:szCs w:val="20"/>
        </w:rPr>
        <w:t>Interdisciplinary Journal, 8</w:t>
      </w:r>
      <w:r w:rsidRPr="006D7B25">
        <w:rPr>
          <w:sz w:val="20"/>
          <w:szCs w:val="20"/>
        </w:rPr>
        <w:t>(3), 267-294.</w:t>
      </w:r>
    </w:p>
    <w:p w:rsidR="00E00837" w:rsidRPr="006D7B25" w:rsidRDefault="00E00837" w:rsidP="004B3530">
      <w:pPr>
        <w:autoSpaceDE w:val="0"/>
        <w:autoSpaceDN w:val="0"/>
        <w:adjustRightInd w:val="0"/>
        <w:jc w:val="both"/>
        <w:rPr>
          <w:sz w:val="20"/>
          <w:szCs w:val="20"/>
        </w:rPr>
      </w:pPr>
      <w:r w:rsidRPr="006D7B25">
        <w:rPr>
          <w:sz w:val="20"/>
          <w:szCs w:val="20"/>
        </w:rPr>
        <w:t>Shapiro, E. S. (n.d.). Tiered instruction and intervention in a response-to</w:t>
      </w:r>
      <w:r w:rsidR="004B3530">
        <w:rPr>
          <w:sz w:val="20"/>
          <w:szCs w:val="20"/>
        </w:rPr>
        <w:t xml:space="preserve">-intervention model. RTI Action </w:t>
      </w:r>
      <w:r w:rsidRPr="006D7B25">
        <w:rPr>
          <w:sz w:val="20"/>
          <w:szCs w:val="20"/>
        </w:rPr>
        <w:t>Network. Retrieved from http://www.rtinetwork.org/essential/tieredinstruction/tiered-instruction-and-intervention-rti-model</w:t>
      </w:r>
      <w:r w:rsidR="00D6692D" w:rsidRPr="006D7B25">
        <w:rPr>
          <w:sz w:val="20"/>
          <w:szCs w:val="20"/>
        </w:rPr>
        <w:t>.</w:t>
      </w:r>
    </w:p>
    <w:p w:rsidR="00423FB0" w:rsidRPr="006D7B25" w:rsidRDefault="00570B16" w:rsidP="004B3530">
      <w:pPr>
        <w:jc w:val="both"/>
        <w:rPr>
          <w:sz w:val="20"/>
          <w:szCs w:val="20"/>
        </w:rPr>
      </w:pPr>
      <w:r w:rsidRPr="006D7B25">
        <w:rPr>
          <w:sz w:val="20"/>
          <w:szCs w:val="20"/>
        </w:rPr>
        <w:t xml:space="preserve">Shaywitz, S. E. (2003). </w:t>
      </w:r>
      <w:r w:rsidRPr="006D7B25">
        <w:rPr>
          <w:i/>
          <w:sz w:val="20"/>
          <w:szCs w:val="20"/>
        </w:rPr>
        <w:t>Overcoming dyslexia. A new and complete science-based program for reading problems at any level.</w:t>
      </w:r>
      <w:r w:rsidRPr="006D7B25">
        <w:rPr>
          <w:sz w:val="20"/>
          <w:szCs w:val="20"/>
        </w:rPr>
        <w:t xml:space="preserve"> NY: Knopf. </w:t>
      </w:r>
    </w:p>
    <w:p w:rsidR="00423FB0" w:rsidRPr="006D7B25" w:rsidRDefault="00423FB0" w:rsidP="004B3530">
      <w:pPr>
        <w:autoSpaceDE w:val="0"/>
        <w:autoSpaceDN w:val="0"/>
        <w:adjustRightInd w:val="0"/>
        <w:jc w:val="both"/>
        <w:rPr>
          <w:rFonts w:eastAsia="Times New Roman"/>
          <w:sz w:val="20"/>
          <w:szCs w:val="20"/>
        </w:rPr>
      </w:pPr>
      <w:r w:rsidRPr="006D7B25">
        <w:rPr>
          <w:rFonts w:eastAsia="Times New Roman"/>
          <w:sz w:val="20"/>
          <w:szCs w:val="20"/>
        </w:rPr>
        <w:t xml:space="preserve">Slingerland, B. H., &amp; Aho, M. (1994–1996). </w:t>
      </w:r>
      <w:r w:rsidRPr="006D7B25">
        <w:rPr>
          <w:rFonts w:eastAsia="Times New Roman"/>
          <w:i/>
          <w:iCs/>
          <w:sz w:val="20"/>
          <w:szCs w:val="20"/>
        </w:rPr>
        <w:t>Slingerland reading program</w:t>
      </w:r>
      <w:r w:rsidRPr="006D7B25">
        <w:rPr>
          <w:rFonts w:eastAsia="Times New Roman"/>
          <w:sz w:val="20"/>
          <w:szCs w:val="20"/>
        </w:rPr>
        <w:t>. Cambridge, MA: Educators Publishing Service.</w:t>
      </w:r>
    </w:p>
    <w:p w:rsidR="00570B16" w:rsidRPr="006D7B25" w:rsidRDefault="00570B16" w:rsidP="006D7B25">
      <w:pPr>
        <w:autoSpaceDE w:val="0"/>
        <w:autoSpaceDN w:val="0"/>
        <w:adjustRightInd w:val="0"/>
        <w:jc w:val="both"/>
        <w:rPr>
          <w:sz w:val="20"/>
          <w:szCs w:val="20"/>
        </w:rPr>
      </w:pPr>
      <w:r w:rsidRPr="006D7B25">
        <w:rPr>
          <w:sz w:val="20"/>
          <w:szCs w:val="20"/>
        </w:rPr>
        <w:t xml:space="preserve">Smith, F. R., &amp; Feathers, K. M. (1983). The role of reading in content classrooms: Assumption vs. </w:t>
      </w:r>
    </w:p>
    <w:p w:rsidR="00570B16" w:rsidRPr="006D7B25" w:rsidRDefault="00570B16" w:rsidP="006D7B25">
      <w:pPr>
        <w:autoSpaceDE w:val="0"/>
        <w:autoSpaceDN w:val="0"/>
        <w:adjustRightInd w:val="0"/>
        <w:jc w:val="both"/>
        <w:rPr>
          <w:sz w:val="20"/>
          <w:szCs w:val="20"/>
        </w:rPr>
      </w:pPr>
      <w:r w:rsidRPr="006D7B25">
        <w:rPr>
          <w:sz w:val="20"/>
          <w:szCs w:val="20"/>
        </w:rPr>
        <w:t xml:space="preserve">reality. </w:t>
      </w:r>
      <w:r w:rsidRPr="006D7B25">
        <w:rPr>
          <w:i/>
          <w:sz w:val="20"/>
          <w:szCs w:val="20"/>
        </w:rPr>
        <w:t>Journal of Reading, 27</w:t>
      </w:r>
      <w:r w:rsidRPr="006D7B25">
        <w:rPr>
          <w:sz w:val="20"/>
          <w:szCs w:val="20"/>
        </w:rPr>
        <w:t>, 262-267.</w:t>
      </w:r>
    </w:p>
    <w:p w:rsidR="00570B16" w:rsidRPr="006D7B25" w:rsidRDefault="00570B16" w:rsidP="004B3530">
      <w:pPr>
        <w:autoSpaceDE w:val="0"/>
        <w:autoSpaceDN w:val="0"/>
        <w:adjustRightInd w:val="0"/>
        <w:jc w:val="both"/>
        <w:rPr>
          <w:bCs/>
          <w:sz w:val="20"/>
          <w:szCs w:val="20"/>
        </w:rPr>
      </w:pPr>
      <w:r w:rsidRPr="006D7B25">
        <w:rPr>
          <w:sz w:val="20"/>
          <w:szCs w:val="20"/>
        </w:rPr>
        <w:t xml:space="preserve">Snow, C. E., &amp; Biancarosa, G. (2003). </w:t>
      </w:r>
      <w:r w:rsidRPr="006D7B25">
        <w:rPr>
          <w:i/>
          <w:sz w:val="20"/>
          <w:szCs w:val="20"/>
        </w:rPr>
        <w:t>Adolescent literacy and the a</w:t>
      </w:r>
      <w:r w:rsidR="004B3530">
        <w:rPr>
          <w:i/>
          <w:sz w:val="20"/>
          <w:szCs w:val="20"/>
        </w:rPr>
        <w:t xml:space="preserve">chievement gap: What do we know </w:t>
      </w:r>
      <w:r w:rsidRPr="006D7B25">
        <w:rPr>
          <w:i/>
          <w:sz w:val="20"/>
          <w:szCs w:val="20"/>
        </w:rPr>
        <w:t>and where do w ego from here?</w:t>
      </w:r>
      <w:r w:rsidRPr="006D7B25">
        <w:rPr>
          <w:sz w:val="20"/>
          <w:szCs w:val="20"/>
        </w:rPr>
        <w:t xml:space="preserve"> </w:t>
      </w:r>
      <w:r w:rsidRPr="006D7B25">
        <w:rPr>
          <w:bCs/>
          <w:sz w:val="20"/>
          <w:szCs w:val="20"/>
        </w:rPr>
        <w:t xml:space="preserve">Adolescent Literacy Funders Meeting Report </w:t>
      </w:r>
      <w:r w:rsidRPr="006D7B25">
        <w:rPr>
          <w:sz w:val="20"/>
          <w:szCs w:val="20"/>
        </w:rPr>
        <w:t xml:space="preserve">New York: </w:t>
      </w:r>
      <w:r w:rsidRPr="006D7B25">
        <w:rPr>
          <w:bCs/>
          <w:sz w:val="20"/>
          <w:szCs w:val="20"/>
        </w:rPr>
        <w:t>Carnegie Corporation of New York.</w:t>
      </w:r>
    </w:p>
    <w:p w:rsidR="00D666C4" w:rsidRPr="006D7B25" w:rsidRDefault="00D666C4" w:rsidP="004B3530">
      <w:pPr>
        <w:jc w:val="both"/>
        <w:rPr>
          <w:sz w:val="20"/>
          <w:szCs w:val="20"/>
        </w:rPr>
      </w:pPr>
      <w:r w:rsidRPr="006D7B25">
        <w:rPr>
          <w:sz w:val="20"/>
          <w:szCs w:val="20"/>
        </w:rPr>
        <w:t xml:space="preserve">Snowling, M. J., &amp; Bishop, D. V. M. (2000). Is preschool language impairment a risk factor for dyslexia in adolescence? </w:t>
      </w:r>
      <w:r w:rsidRPr="006D7B25">
        <w:rPr>
          <w:i/>
          <w:sz w:val="20"/>
          <w:szCs w:val="20"/>
        </w:rPr>
        <w:t xml:space="preserve">Journal of Child Psychology &amp; Psychiatry &amp; Allied Disciplines, 41, </w:t>
      </w:r>
      <w:r w:rsidRPr="006D7B25">
        <w:rPr>
          <w:sz w:val="20"/>
          <w:szCs w:val="20"/>
        </w:rPr>
        <w:t xml:space="preserve">587-601. </w:t>
      </w:r>
    </w:p>
    <w:p w:rsidR="00570B16" w:rsidRPr="006D7B25" w:rsidRDefault="00570B16" w:rsidP="006D7B25">
      <w:pPr>
        <w:autoSpaceDE w:val="0"/>
        <w:autoSpaceDN w:val="0"/>
        <w:adjustRightInd w:val="0"/>
        <w:jc w:val="both"/>
        <w:rPr>
          <w:bCs/>
          <w:i/>
          <w:sz w:val="20"/>
          <w:szCs w:val="20"/>
        </w:rPr>
      </w:pPr>
      <w:r w:rsidRPr="006D7B25">
        <w:rPr>
          <w:bCs/>
          <w:sz w:val="20"/>
          <w:szCs w:val="20"/>
        </w:rPr>
        <w:t xml:space="preserve">Snow, C. E., Burns, M. S., &amp; Griffin, P. (1998). </w:t>
      </w:r>
      <w:r w:rsidRPr="006D7B25">
        <w:rPr>
          <w:bCs/>
          <w:i/>
          <w:sz w:val="20"/>
          <w:szCs w:val="20"/>
        </w:rPr>
        <w:t xml:space="preserve">Preventing reading difficulties in young children. </w:t>
      </w:r>
    </w:p>
    <w:p w:rsidR="00570B16" w:rsidRPr="006D7B25" w:rsidRDefault="00570B16" w:rsidP="006D7B25">
      <w:pPr>
        <w:autoSpaceDE w:val="0"/>
        <w:autoSpaceDN w:val="0"/>
        <w:adjustRightInd w:val="0"/>
        <w:jc w:val="both"/>
        <w:rPr>
          <w:bCs/>
          <w:sz w:val="20"/>
          <w:szCs w:val="20"/>
        </w:rPr>
      </w:pPr>
      <w:r w:rsidRPr="006D7B25">
        <w:rPr>
          <w:bCs/>
          <w:sz w:val="20"/>
          <w:szCs w:val="20"/>
        </w:rPr>
        <w:t>Washington, D.C.: National Research Center.</w:t>
      </w:r>
    </w:p>
    <w:p w:rsidR="00570B16" w:rsidRPr="006D7B25" w:rsidRDefault="00570B16" w:rsidP="009A5BA6">
      <w:pPr>
        <w:autoSpaceDE w:val="0"/>
        <w:autoSpaceDN w:val="0"/>
        <w:adjustRightInd w:val="0"/>
        <w:jc w:val="both"/>
        <w:rPr>
          <w:bCs/>
          <w:sz w:val="20"/>
          <w:szCs w:val="20"/>
        </w:rPr>
      </w:pPr>
      <w:r w:rsidRPr="006D7B25">
        <w:rPr>
          <w:bCs/>
          <w:sz w:val="20"/>
          <w:szCs w:val="20"/>
        </w:rPr>
        <w:t>Stahl, S. A., &amp; Fairbanks, M. M. (1986). The effects of vocabulary in</w:t>
      </w:r>
      <w:r w:rsidR="009A5BA6">
        <w:rPr>
          <w:bCs/>
          <w:sz w:val="20"/>
          <w:szCs w:val="20"/>
        </w:rPr>
        <w:t xml:space="preserve">struction: A model-based meta </w:t>
      </w:r>
      <w:r w:rsidRPr="006D7B25">
        <w:rPr>
          <w:bCs/>
          <w:sz w:val="20"/>
          <w:szCs w:val="20"/>
        </w:rPr>
        <w:t xml:space="preserve">analysis. </w:t>
      </w:r>
      <w:r w:rsidRPr="006D7B25">
        <w:rPr>
          <w:bCs/>
          <w:i/>
          <w:sz w:val="20"/>
          <w:szCs w:val="20"/>
        </w:rPr>
        <w:t>Review of Educational Research, 56</w:t>
      </w:r>
      <w:r w:rsidRPr="006D7B25">
        <w:rPr>
          <w:bCs/>
          <w:sz w:val="20"/>
          <w:szCs w:val="20"/>
        </w:rPr>
        <w:t>, 72-110.</w:t>
      </w:r>
    </w:p>
    <w:p w:rsidR="00CC6408" w:rsidRPr="006D7B25" w:rsidRDefault="00570B16" w:rsidP="009A5BA6">
      <w:pPr>
        <w:jc w:val="both"/>
        <w:rPr>
          <w:sz w:val="20"/>
          <w:szCs w:val="20"/>
        </w:rPr>
      </w:pPr>
      <w:proofErr w:type="spellStart"/>
      <w:r w:rsidRPr="006D7B25">
        <w:rPr>
          <w:sz w:val="20"/>
          <w:szCs w:val="20"/>
        </w:rPr>
        <w:t>Stanovich</w:t>
      </w:r>
      <w:proofErr w:type="spellEnd"/>
      <w:r w:rsidRPr="006D7B25">
        <w:rPr>
          <w:sz w:val="20"/>
          <w:szCs w:val="20"/>
        </w:rPr>
        <w:t>, K.</w:t>
      </w:r>
      <w:r w:rsidR="00457878" w:rsidRPr="006D7B25">
        <w:rPr>
          <w:sz w:val="20"/>
          <w:szCs w:val="20"/>
        </w:rPr>
        <w:t xml:space="preserve"> </w:t>
      </w:r>
      <w:r w:rsidRPr="006D7B25">
        <w:rPr>
          <w:sz w:val="20"/>
          <w:szCs w:val="20"/>
        </w:rPr>
        <w:t>E. (1986). Matthew effects in reading: Some consequences o</w:t>
      </w:r>
      <w:r w:rsidR="009A5BA6">
        <w:rPr>
          <w:sz w:val="20"/>
          <w:szCs w:val="20"/>
        </w:rPr>
        <w:t xml:space="preserve">f individual differences in the </w:t>
      </w:r>
      <w:r w:rsidRPr="006D7B25">
        <w:rPr>
          <w:sz w:val="20"/>
          <w:szCs w:val="20"/>
        </w:rPr>
        <w:t xml:space="preserve">acquisition of literacy. </w:t>
      </w:r>
      <w:r w:rsidRPr="006D7B25">
        <w:rPr>
          <w:i/>
          <w:sz w:val="20"/>
          <w:szCs w:val="20"/>
        </w:rPr>
        <w:t>Reading Research Quarterly, 21,</w:t>
      </w:r>
      <w:r w:rsidRPr="006D7B25">
        <w:rPr>
          <w:sz w:val="20"/>
          <w:szCs w:val="20"/>
        </w:rPr>
        <w:t xml:space="preserve"> 360-407. </w:t>
      </w:r>
    </w:p>
    <w:p w:rsidR="00CC6408" w:rsidRPr="006D7B25" w:rsidRDefault="00CC6408" w:rsidP="009A5BA6">
      <w:pPr>
        <w:jc w:val="both"/>
        <w:rPr>
          <w:sz w:val="20"/>
          <w:szCs w:val="20"/>
        </w:rPr>
      </w:pPr>
      <w:r w:rsidRPr="006D7B25">
        <w:rPr>
          <w:sz w:val="20"/>
          <w:szCs w:val="20"/>
        </w:rPr>
        <w:t xml:space="preserve">Stenhoff, D. M. &amp; Lignugaris/Kraft, B. (2007). A review of the effects of peer tutoring on students with mild disabilities in secondary </w:t>
      </w:r>
      <w:r w:rsidR="003709B3" w:rsidRPr="006D7B25">
        <w:rPr>
          <w:sz w:val="20"/>
          <w:szCs w:val="20"/>
        </w:rPr>
        <w:t>settings</w:t>
      </w:r>
      <w:r w:rsidRPr="006D7B25">
        <w:rPr>
          <w:sz w:val="20"/>
          <w:szCs w:val="20"/>
        </w:rPr>
        <w:t xml:space="preserve">. </w:t>
      </w:r>
      <w:r w:rsidRPr="006D7B25">
        <w:rPr>
          <w:i/>
          <w:sz w:val="20"/>
          <w:szCs w:val="20"/>
        </w:rPr>
        <w:t>Exceptional Children, 74</w:t>
      </w:r>
      <w:r w:rsidRPr="006D7B25">
        <w:rPr>
          <w:sz w:val="20"/>
          <w:szCs w:val="20"/>
        </w:rPr>
        <w:t xml:space="preserve">, 8-30. </w:t>
      </w:r>
    </w:p>
    <w:p w:rsidR="009A5BA6" w:rsidRDefault="00570B16" w:rsidP="009A5BA6">
      <w:pPr>
        <w:jc w:val="both"/>
        <w:rPr>
          <w:i/>
          <w:sz w:val="20"/>
          <w:szCs w:val="20"/>
        </w:rPr>
      </w:pPr>
      <w:r w:rsidRPr="006D7B25">
        <w:rPr>
          <w:sz w:val="20"/>
          <w:szCs w:val="20"/>
        </w:rPr>
        <w:t xml:space="preserve">Swanson, H. L., Hoskyn, M., &amp; Lee, C. (1999). </w:t>
      </w:r>
      <w:r w:rsidRPr="006D7B25">
        <w:rPr>
          <w:i/>
          <w:sz w:val="20"/>
          <w:szCs w:val="20"/>
        </w:rPr>
        <w:t>Interventions for students with learning disabilities: A meta-analysis of treatment outcomes.</w:t>
      </w:r>
      <w:r w:rsidRPr="006D7B25">
        <w:rPr>
          <w:sz w:val="20"/>
          <w:szCs w:val="20"/>
        </w:rPr>
        <w:t xml:space="preserve"> New York: Guilford Press.</w:t>
      </w:r>
      <w:r w:rsidR="009A5BA6">
        <w:rPr>
          <w:i/>
          <w:sz w:val="20"/>
          <w:szCs w:val="20"/>
        </w:rPr>
        <w:t xml:space="preserve"> </w:t>
      </w:r>
    </w:p>
    <w:p w:rsidR="00570B16" w:rsidRPr="009A5BA6" w:rsidRDefault="00570B16" w:rsidP="009A5BA6">
      <w:pPr>
        <w:jc w:val="both"/>
        <w:rPr>
          <w:i/>
          <w:sz w:val="20"/>
          <w:szCs w:val="20"/>
        </w:rPr>
      </w:pPr>
      <w:proofErr w:type="spellStart"/>
      <w:r w:rsidRPr="006D7B25">
        <w:rPr>
          <w:sz w:val="20"/>
          <w:szCs w:val="20"/>
        </w:rPr>
        <w:t>Talbott</w:t>
      </w:r>
      <w:proofErr w:type="spellEnd"/>
      <w:r w:rsidRPr="006D7B25">
        <w:rPr>
          <w:sz w:val="20"/>
          <w:szCs w:val="20"/>
        </w:rPr>
        <w:t>, E., Lloyd, J. W., &amp; Tankersley, M. (1994). Effects of reading c</w:t>
      </w:r>
      <w:r w:rsidR="009A5BA6">
        <w:rPr>
          <w:sz w:val="20"/>
          <w:szCs w:val="20"/>
        </w:rPr>
        <w:t xml:space="preserve">omprehension interventions with </w:t>
      </w:r>
      <w:r w:rsidRPr="006D7B25">
        <w:rPr>
          <w:sz w:val="20"/>
          <w:szCs w:val="20"/>
        </w:rPr>
        <w:t xml:space="preserve">students with learning disabilities. </w:t>
      </w:r>
      <w:r w:rsidRPr="006D7B25">
        <w:rPr>
          <w:i/>
          <w:sz w:val="20"/>
          <w:szCs w:val="20"/>
        </w:rPr>
        <w:t>Learning Disabilities Quarterly, 17</w:t>
      </w:r>
      <w:r w:rsidRPr="006D7B25">
        <w:rPr>
          <w:sz w:val="20"/>
          <w:szCs w:val="20"/>
        </w:rPr>
        <w:t>, 223-232.</w:t>
      </w:r>
    </w:p>
    <w:p w:rsidR="00570B16" w:rsidRPr="006D7B25" w:rsidRDefault="00570B16" w:rsidP="009A5BA6">
      <w:pPr>
        <w:autoSpaceDE w:val="0"/>
        <w:autoSpaceDN w:val="0"/>
        <w:adjustRightInd w:val="0"/>
        <w:jc w:val="both"/>
        <w:rPr>
          <w:rFonts w:eastAsia="Times New Roman"/>
          <w:sz w:val="20"/>
          <w:szCs w:val="20"/>
        </w:rPr>
      </w:pPr>
      <w:r w:rsidRPr="006D7B25">
        <w:rPr>
          <w:rFonts w:eastAsia="Times New Roman"/>
          <w:sz w:val="20"/>
          <w:szCs w:val="20"/>
        </w:rPr>
        <w:t xml:space="preserve">Tierney, R. J., &amp; Shanahan, T. (1991). Research on the reading-writing relationship: Interactions, </w:t>
      </w:r>
    </w:p>
    <w:p w:rsidR="00570B16" w:rsidRPr="006D7B25" w:rsidRDefault="00570B16" w:rsidP="009A5BA6">
      <w:pPr>
        <w:autoSpaceDE w:val="0"/>
        <w:autoSpaceDN w:val="0"/>
        <w:adjustRightInd w:val="0"/>
        <w:jc w:val="both"/>
        <w:rPr>
          <w:sz w:val="20"/>
          <w:szCs w:val="20"/>
        </w:rPr>
      </w:pPr>
      <w:r w:rsidRPr="006D7B25">
        <w:rPr>
          <w:rFonts w:eastAsia="Times New Roman"/>
          <w:sz w:val="20"/>
          <w:szCs w:val="20"/>
        </w:rPr>
        <w:t xml:space="preserve">transactions, and outcomes. In R. Barr, M. L. Kamil, P. B. Mosenthal, &amp; P. D. Pearson (Eds.), </w:t>
      </w:r>
      <w:r w:rsidRPr="006D7B25">
        <w:rPr>
          <w:rFonts w:eastAsia="Times New Roman"/>
          <w:i/>
          <w:sz w:val="20"/>
          <w:szCs w:val="20"/>
        </w:rPr>
        <w:t>Handbook of reading research</w:t>
      </w:r>
      <w:r w:rsidRPr="006D7B25">
        <w:rPr>
          <w:rFonts w:eastAsia="Times New Roman"/>
          <w:sz w:val="20"/>
          <w:szCs w:val="20"/>
        </w:rPr>
        <w:t xml:space="preserve"> (Vol. 2, pp. 246-280). New York: Longman.</w:t>
      </w:r>
    </w:p>
    <w:p w:rsidR="00570B16" w:rsidRPr="006D7B25" w:rsidRDefault="00570B16" w:rsidP="009A5BA6">
      <w:pPr>
        <w:jc w:val="both"/>
        <w:rPr>
          <w:color w:val="000000"/>
          <w:sz w:val="20"/>
          <w:szCs w:val="20"/>
        </w:rPr>
      </w:pPr>
      <w:proofErr w:type="spellStart"/>
      <w:r w:rsidRPr="006D7B25">
        <w:rPr>
          <w:color w:val="000000"/>
          <w:sz w:val="20"/>
          <w:szCs w:val="20"/>
        </w:rPr>
        <w:t>Torgesen</w:t>
      </w:r>
      <w:proofErr w:type="spellEnd"/>
      <w:r w:rsidRPr="006D7B25">
        <w:rPr>
          <w:color w:val="000000"/>
          <w:sz w:val="20"/>
          <w:szCs w:val="20"/>
        </w:rPr>
        <w:t xml:space="preserve">, J. K., Alexander, A. W., Wagner, R. K., Rashotte, C. A., Voeller, K. K. S., &amp; Conway, T. </w:t>
      </w:r>
    </w:p>
    <w:p w:rsidR="00570B16" w:rsidRPr="006D7B25" w:rsidRDefault="00570B16" w:rsidP="009A5BA6">
      <w:pPr>
        <w:jc w:val="both"/>
        <w:rPr>
          <w:color w:val="000000"/>
          <w:sz w:val="20"/>
          <w:szCs w:val="20"/>
        </w:rPr>
      </w:pPr>
      <w:r w:rsidRPr="006D7B25">
        <w:rPr>
          <w:color w:val="000000"/>
          <w:sz w:val="20"/>
          <w:szCs w:val="20"/>
        </w:rPr>
        <w:t>(2001). Intensive remedial instruction for children with severe reading d</w:t>
      </w:r>
      <w:r w:rsidR="009A5BA6">
        <w:rPr>
          <w:color w:val="000000"/>
          <w:sz w:val="20"/>
          <w:szCs w:val="20"/>
        </w:rPr>
        <w:t xml:space="preserve">isabilities: Immediate and long </w:t>
      </w:r>
      <w:r w:rsidRPr="006D7B25">
        <w:rPr>
          <w:color w:val="000000"/>
          <w:sz w:val="20"/>
          <w:szCs w:val="20"/>
        </w:rPr>
        <w:t xml:space="preserve">term outcomes from two instructional approaches. </w:t>
      </w:r>
      <w:r w:rsidRPr="006D7B25">
        <w:rPr>
          <w:i/>
          <w:color w:val="000000"/>
          <w:sz w:val="20"/>
          <w:szCs w:val="20"/>
        </w:rPr>
        <w:t>Journal of Learning Disabilities, 34</w:t>
      </w:r>
      <w:r w:rsidRPr="006D7B25">
        <w:rPr>
          <w:color w:val="000000"/>
          <w:sz w:val="20"/>
          <w:szCs w:val="20"/>
        </w:rPr>
        <w:t>(1), 33-58.</w:t>
      </w:r>
    </w:p>
    <w:p w:rsidR="00570B16" w:rsidRPr="006D7B25" w:rsidRDefault="00570B16" w:rsidP="009A5BA6">
      <w:pPr>
        <w:jc w:val="both"/>
        <w:rPr>
          <w:bCs/>
          <w:sz w:val="20"/>
          <w:szCs w:val="20"/>
        </w:rPr>
      </w:pPr>
      <w:r w:rsidRPr="006D7B25">
        <w:rPr>
          <w:color w:val="000000"/>
          <w:sz w:val="20"/>
          <w:szCs w:val="20"/>
        </w:rPr>
        <w:t xml:space="preserve">Torgesen, J. K., Wagner, R. K., &amp; </w:t>
      </w:r>
      <w:r w:rsidR="00E80611" w:rsidRPr="006D7B25">
        <w:rPr>
          <w:color w:val="000000"/>
          <w:sz w:val="20"/>
          <w:szCs w:val="20"/>
        </w:rPr>
        <w:t>Rashotte</w:t>
      </w:r>
      <w:r w:rsidRPr="006D7B25">
        <w:rPr>
          <w:color w:val="000000"/>
          <w:sz w:val="20"/>
          <w:szCs w:val="20"/>
        </w:rPr>
        <w:t xml:space="preserve">, C. A. (1999). </w:t>
      </w:r>
      <w:r w:rsidRPr="006D7B25">
        <w:rPr>
          <w:bCs/>
          <w:i/>
          <w:sz w:val="20"/>
          <w:szCs w:val="20"/>
        </w:rPr>
        <w:t>Test of Word Reading Efficiency</w:t>
      </w:r>
      <w:r w:rsidR="009A5BA6">
        <w:rPr>
          <w:bCs/>
          <w:sz w:val="20"/>
          <w:szCs w:val="20"/>
        </w:rPr>
        <w:t xml:space="preserve">. Austin, TX: </w:t>
      </w:r>
      <w:r w:rsidRPr="006D7B25">
        <w:rPr>
          <w:bCs/>
          <w:sz w:val="20"/>
          <w:szCs w:val="20"/>
        </w:rPr>
        <w:t>Pro-Ed.</w:t>
      </w:r>
    </w:p>
    <w:p w:rsidR="00570B16" w:rsidRPr="006D7B25" w:rsidRDefault="00570B16" w:rsidP="009A5BA6">
      <w:pPr>
        <w:jc w:val="both"/>
        <w:rPr>
          <w:color w:val="000000"/>
          <w:sz w:val="20"/>
          <w:szCs w:val="20"/>
        </w:rPr>
      </w:pPr>
      <w:r w:rsidRPr="006D7B25">
        <w:rPr>
          <w:color w:val="000000"/>
          <w:sz w:val="20"/>
          <w:szCs w:val="20"/>
        </w:rPr>
        <w:t xml:space="preserve">Torgesen, J. K., Wagner, R. K., &amp; </w:t>
      </w:r>
      <w:r w:rsidR="00E80611" w:rsidRPr="006D7B25">
        <w:rPr>
          <w:color w:val="000000"/>
          <w:sz w:val="20"/>
          <w:szCs w:val="20"/>
        </w:rPr>
        <w:t>Rashotte</w:t>
      </w:r>
      <w:r w:rsidRPr="006D7B25">
        <w:rPr>
          <w:color w:val="000000"/>
          <w:sz w:val="20"/>
          <w:szCs w:val="20"/>
        </w:rPr>
        <w:t xml:space="preserve">, C. A. (1994). Longitudinal studies of phonological </w:t>
      </w:r>
    </w:p>
    <w:p w:rsidR="00570B16" w:rsidRPr="006D7B25" w:rsidRDefault="00570B16" w:rsidP="009A5BA6">
      <w:pPr>
        <w:jc w:val="both"/>
        <w:rPr>
          <w:color w:val="000000"/>
          <w:sz w:val="20"/>
          <w:szCs w:val="20"/>
        </w:rPr>
      </w:pPr>
      <w:r w:rsidRPr="006D7B25">
        <w:rPr>
          <w:color w:val="000000"/>
          <w:sz w:val="20"/>
          <w:szCs w:val="20"/>
        </w:rPr>
        <w:t xml:space="preserve">processing and reading. </w:t>
      </w:r>
      <w:r w:rsidRPr="006D7B25">
        <w:rPr>
          <w:i/>
          <w:color w:val="000000"/>
          <w:sz w:val="20"/>
          <w:szCs w:val="20"/>
        </w:rPr>
        <w:t>Journal of Learning Disabilities, 27</w:t>
      </w:r>
      <w:r w:rsidRPr="006D7B25">
        <w:rPr>
          <w:color w:val="000000"/>
          <w:sz w:val="20"/>
          <w:szCs w:val="20"/>
        </w:rPr>
        <w:t>, 276-286.</w:t>
      </w:r>
    </w:p>
    <w:p w:rsidR="00570B16" w:rsidRPr="006D7B25" w:rsidRDefault="00570B16" w:rsidP="009A5BA6">
      <w:pPr>
        <w:jc w:val="both"/>
        <w:rPr>
          <w:color w:val="000000"/>
          <w:sz w:val="20"/>
          <w:szCs w:val="20"/>
        </w:rPr>
      </w:pPr>
      <w:r w:rsidRPr="006D7B25">
        <w:rPr>
          <w:color w:val="000000"/>
          <w:sz w:val="20"/>
          <w:szCs w:val="20"/>
        </w:rPr>
        <w:t>Vaughn, S., Gersten, R., &amp; Chard, D. J. (2000). The underlying mess</w:t>
      </w:r>
      <w:r w:rsidR="009A5BA6">
        <w:rPr>
          <w:color w:val="000000"/>
          <w:sz w:val="20"/>
          <w:szCs w:val="20"/>
        </w:rPr>
        <w:t xml:space="preserve">age in LD intervention research </w:t>
      </w:r>
      <w:r w:rsidRPr="006D7B25">
        <w:rPr>
          <w:color w:val="000000"/>
          <w:sz w:val="20"/>
          <w:szCs w:val="20"/>
        </w:rPr>
        <w:t xml:space="preserve">syntheses. </w:t>
      </w:r>
      <w:r w:rsidRPr="006D7B25">
        <w:rPr>
          <w:i/>
          <w:color w:val="000000"/>
          <w:sz w:val="20"/>
          <w:szCs w:val="20"/>
        </w:rPr>
        <w:t>Exceptional Children, 67</w:t>
      </w:r>
      <w:r w:rsidRPr="006D7B25">
        <w:rPr>
          <w:color w:val="000000"/>
          <w:sz w:val="20"/>
          <w:szCs w:val="20"/>
        </w:rPr>
        <w:t>(1), 99-114.</w:t>
      </w:r>
    </w:p>
    <w:p w:rsidR="00570B16" w:rsidRPr="006D7B25" w:rsidRDefault="00570B16" w:rsidP="006D7B25">
      <w:pPr>
        <w:jc w:val="both"/>
        <w:rPr>
          <w:color w:val="000000"/>
          <w:sz w:val="20"/>
          <w:szCs w:val="20"/>
        </w:rPr>
      </w:pPr>
      <w:r w:rsidRPr="006D7B25">
        <w:rPr>
          <w:color w:val="000000"/>
          <w:sz w:val="20"/>
          <w:szCs w:val="20"/>
        </w:rPr>
        <w:t xml:space="preserve">Vaughn, S., Klingner, J. K., &amp; Bryant, D. P. (2001). Collaborative strategic reading as a means to </w:t>
      </w:r>
    </w:p>
    <w:p w:rsidR="00570B16" w:rsidRPr="006D7B25" w:rsidRDefault="00570B16" w:rsidP="009A5BA6">
      <w:pPr>
        <w:jc w:val="both"/>
        <w:rPr>
          <w:color w:val="000000"/>
          <w:sz w:val="20"/>
          <w:szCs w:val="20"/>
        </w:rPr>
      </w:pPr>
      <w:r w:rsidRPr="006D7B25">
        <w:rPr>
          <w:color w:val="000000"/>
          <w:sz w:val="20"/>
          <w:szCs w:val="20"/>
        </w:rPr>
        <w:t xml:space="preserve">enhance peer-mediated instruction for reading comprehension and content area learning. </w:t>
      </w:r>
      <w:r w:rsidRPr="006D7B25">
        <w:rPr>
          <w:i/>
          <w:color w:val="000000"/>
          <w:sz w:val="20"/>
          <w:szCs w:val="20"/>
        </w:rPr>
        <w:t>Remedial and Special Education, 22</w:t>
      </w:r>
      <w:r w:rsidRPr="006D7B25">
        <w:rPr>
          <w:color w:val="000000"/>
          <w:sz w:val="20"/>
          <w:szCs w:val="20"/>
        </w:rPr>
        <w:t>(2), 566-</w:t>
      </w:r>
      <w:r w:rsidR="00CC5E97" w:rsidRPr="006D7B25">
        <w:rPr>
          <w:color w:val="000000"/>
          <w:sz w:val="20"/>
          <w:szCs w:val="20"/>
        </w:rPr>
        <w:t>5</w:t>
      </w:r>
      <w:r w:rsidRPr="006D7B25">
        <w:rPr>
          <w:color w:val="000000"/>
          <w:sz w:val="20"/>
          <w:szCs w:val="20"/>
        </w:rPr>
        <w:t>74.</w:t>
      </w:r>
    </w:p>
    <w:p w:rsidR="00570B16" w:rsidRPr="006D7B25" w:rsidRDefault="00570B16" w:rsidP="009A5BA6">
      <w:pPr>
        <w:jc w:val="both"/>
        <w:rPr>
          <w:i/>
          <w:color w:val="000000"/>
          <w:sz w:val="20"/>
          <w:szCs w:val="20"/>
        </w:rPr>
      </w:pPr>
      <w:r w:rsidRPr="006D7B25">
        <w:rPr>
          <w:color w:val="000000"/>
          <w:sz w:val="20"/>
          <w:szCs w:val="20"/>
        </w:rPr>
        <w:t xml:space="preserve">Wagner, D. A. (2000). </w:t>
      </w:r>
      <w:r w:rsidRPr="006D7B25">
        <w:rPr>
          <w:i/>
          <w:color w:val="000000"/>
          <w:sz w:val="20"/>
          <w:szCs w:val="20"/>
        </w:rPr>
        <w:t>EFA 2000 thematic study on literacy and adult edu</w:t>
      </w:r>
      <w:r w:rsidR="009A5BA6">
        <w:rPr>
          <w:i/>
          <w:color w:val="000000"/>
          <w:sz w:val="20"/>
          <w:szCs w:val="20"/>
        </w:rPr>
        <w:t xml:space="preserve">cation: For presentation at the </w:t>
      </w:r>
      <w:r w:rsidRPr="006D7B25">
        <w:rPr>
          <w:i/>
          <w:color w:val="000000"/>
          <w:sz w:val="20"/>
          <w:szCs w:val="20"/>
        </w:rPr>
        <w:t>World Education Forum, Dakar</w:t>
      </w:r>
      <w:r w:rsidRPr="006D7B25">
        <w:rPr>
          <w:color w:val="000000"/>
          <w:sz w:val="20"/>
          <w:szCs w:val="20"/>
        </w:rPr>
        <w:t>. Philadelphia: International Literacy Institute.</w:t>
      </w:r>
    </w:p>
    <w:p w:rsidR="00570B16" w:rsidRPr="006D7B25" w:rsidRDefault="00570B16" w:rsidP="009A5BA6">
      <w:pPr>
        <w:jc w:val="both"/>
        <w:rPr>
          <w:i/>
          <w:color w:val="000000"/>
          <w:sz w:val="20"/>
          <w:szCs w:val="20"/>
        </w:rPr>
      </w:pPr>
      <w:r w:rsidRPr="006D7B25">
        <w:rPr>
          <w:color w:val="000000"/>
          <w:sz w:val="20"/>
          <w:szCs w:val="20"/>
        </w:rPr>
        <w:t xml:space="preserve">Wagner, M., Blackorby, J., &amp; Hebbeler, K. (1993). </w:t>
      </w:r>
      <w:r w:rsidRPr="006D7B25">
        <w:rPr>
          <w:i/>
          <w:color w:val="000000"/>
          <w:sz w:val="20"/>
          <w:szCs w:val="20"/>
        </w:rPr>
        <w:t>Beyond the report card: The multiple dimensions of secondary school performance of students with disabilities.</w:t>
      </w:r>
      <w:r w:rsidR="003F4C62" w:rsidRPr="006D7B25">
        <w:rPr>
          <w:color w:val="000000"/>
          <w:sz w:val="20"/>
          <w:szCs w:val="20"/>
        </w:rPr>
        <w:t xml:space="preserve"> A report from the </w:t>
      </w:r>
      <w:r w:rsidRPr="006D7B25">
        <w:rPr>
          <w:color w:val="000000"/>
          <w:sz w:val="20"/>
          <w:szCs w:val="20"/>
        </w:rPr>
        <w:t>National Longitudinal Study of Special Education Students. Menlo Park, CA: Stanford Research Institute International.</w:t>
      </w:r>
    </w:p>
    <w:p w:rsidR="008E12FD" w:rsidRPr="006D7B25" w:rsidRDefault="008E12FD" w:rsidP="009A5BA6">
      <w:pPr>
        <w:jc w:val="both"/>
        <w:rPr>
          <w:color w:val="000000"/>
          <w:sz w:val="20"/>
          <w:szCs w:val="20"/>
        </w:rPr>
      </w:pPr>
      <w:r w:rsidRPr="006D7B25">
        <w:rPr>
          <w:color w:val="000000"/>
          <w:sz w:val="20"/>
          <w:szCs w:val="20"/>
        </w:rPr>
        <w:t>Wanzek, J.</w:t>
      </w:r>
      <w:r w:rsidR="00273633" w:rsidRPr="006D7B25">
        <w:rPr>
          <w:color w:val="000000"/>
          <w:sz w:val="20"/>
          <w:szCs w:val="20"/>
        </w:rPr>
        <w:t>,</w:t>
      </w:r>
      <w:r w:rsidRPr="006D7B25">
        <w:rPr>
          <w:color w:val="000000"/>
          <w:sz w:val="20"/>
          <w:szCs w:val="20"/>
        </w:rPr>
        <w:t xml:space="preserve"> &amp; Vaughn, S. (2010). Tier 3 interventions for students with significant reading </w:t>
      </w:r>
      <w:r w:rsidR="00C563A4" w:rsidRPr="006D7B25">
        <w:rPr>
          <w:color w:val="000000"/>
          <w:sz w:val="20"/>
          <w:szCs w:val="20"/>
        </w:rPr>
        <w:t>p</w:t>
      </w:r>
      <w:r w:rsidRPr="006D7B25">
        <w:rPr>
          <w:color w:val="000000"/>
          <w:sz w:val="20"/>
          <w:szCs w:val="20"/>
        </w:rPr>
        <w:t>roblems.</w:t>
      </w:r>
      <w:r w:rsidR="009A5BA6">
        <w:rPr>
          <w:color w:val="000000"/>
          <w:sz w:val="20"/>
          <w:szCs w:val="20"/>
        </w:rPr>
        <w:t xml:space="preserve"> </w:t>
      </w:r>
      <w:r w:rsidRPr="006D7B25">
        <w:rPr>
          <w:i/>
          <w:color w:val="000000"/>
          <w:sz w:val="20"/>
          <w:szCs w:val="20"/>
        </w:rPr>
        <w:t xml:space="preserve">Theory </w:t>
      </w:r>
      <w:r w:rsidR="003848E3" w:rsidRPr="006D7B25">
        <w:rPr>
          <w:i/>
          <w:color w:val="000000"/>
          <w:sz w:val="20"/>
          <w:szCs w:val="20"/>
        </w:rPr>
        <w:t>i</w:t>
      </w:r>
      <w:r w:rsidRPr="006D7B25">
        <w:rPr>
          <w:i/>
          <w:color w:val="000000"/>
          <w:sz w:val="20"/>
          <w:szCs w:val="20"/>
        </w:rPr>
        <w:t>nto Practice, 49</w:t>
      </w:r>
      <w:r w:rsidRPr="006D7B25">
        <w:rPr>
          <w:color w:val="000000"/>
          <w:sz w:val="20"/>
          <w:szCs w:val="20"/>
        </w:rPr>
        <w:t xml:space="preserve">, 305-314. </w:t>
      </w:r>
    </w:p>
    <w:p w:rsidR="009A711D" w:rsidRPr="006D7B25" w:rsidRDefault="009A711D" w:rsidP="006D7B25">
      <w:pPr>
        <w:autoSpaceDE w:val="0"/>
        <w:autoSpaceDN w:val="0"/>
        <w:adjustRightInd w:val="0"/>
        <w:jc w:val="both"/>
        <w:rPr>
          <w:rFonts w:eastAsia="Times New Roman"/>
          <w:sz w:val="20"/>
          <w:szCs w:val="20"/>
        </w:rPr>
      </w:pPr>
      <w:r w:rsidRPr="006D7B25">
        <w:rPr>
          <w:rFonts w:eastAsia="Times New Roman"/>
          <w:sz w:val="20"/>
          <w:szCs w:val="20"/>
        </w:rPr>
        <w:t>Wilkinson, G.</w:t>
      </w:r>
      <w:r w:rsidR="00273633" w:rsidRPr="006D7B25">
        <w:rPr>
          <w:rFonts w:eastAsia="Times New Roman"/>
          <w:sz w:val="20"/>
          <w:szCs w:val="20"/>
        </w:rPr>
        <w:t xml:space="preserve"> </w:t>
      </w:r>
      <w:r w:rsidRPr="006D7B25">
        <w:rPr>
          <w:rFonts w:eastAsia="Times New Roman"/>
          <w:sz w:val="20"/>
          <w:szCs w:val="20"/>
        </w:rPr>
        <w:t xml:space="preserve">S. (1993). </w:t>
      </w:r>
      <w:r w:rsidRPr="006D7B25">
        <w:rPr>
          <w:rFonts w:eastAsia="Times New Roman"/>
          <w:i/>
          <w:iCs/>
          <w:sz w:val="20"/>
          <w:szCs w:val="20"/>
        </w:rPr>
        <w:t>Wide Range Achievement Test 3–Administration manual</w:t>
      </w:r>
      <w:r w:rsidRPr="006D7B25">
        <w:rPr>
          <w:rFonts w:eastAsia="Times New Roman"/>
          <w:sz w:val="20"/>
          <w:szCs w:val="20"/>
        </w:rPr>
        <w:t xml:space="preserve">. Wilmington, DE: </w:t>
      </w:r>
    </w:p>
    <w:p w:rsidR="00A60BF1" w:rsidRDefault="009A711D" w:rsidP="009A5BA6">
      <w:pPr>
        <w:autoSpaceDE w:val="0"/>
        <w:autoSpaceDN w:val="0"/>
        <w:adjustRightInd w:val="0"/>
        <w:jc w:val="both"/>
        <w:rPr>
          <w:color w:val="000000"/>
          <w:sz w:val="20"/>
          <w:szCs w:val="20"/>
        </w:rPr>
      </w:pPr>
      <w:proofErr w:type="spellStart"/>
      <w:r w:rsidRPr="006D7B25">
        <w:rPr>
          <w:rFonts w:eastAsia="Times New Roman"/>
          <w:sz w:val="20"/>
          <w:szCs w:val="20"/>
        </w:rPr>
        <w:t>Jastak</w:t>
      </w:r>
      <w:proofErr w:type="spellEnd"/>
      <w:r w:rsidRPr="006D7B25">
        <w:rPr>
          <w:rFonts w:eastAsia="Times New Roman"/>
          <w:sz w:val="20"/>
          <w:szCs w:val="20"/>
        </w:rPr>
        <w:t xml:space="preserve"> Associates, Inc.</w:t>
      </w:r>
      <w:r w:rsidR="00A60BF1">
        <w:rPr>
          <w:color w:val="000000"/>
          <w:sz w:val="20"/>
          <w:szCs w:val="20"/>
        </w:rPr>
        <w:t xml:space="preserve"> </w:t>
      </w:r>
    </w:p>
    <w:p w:rsidR="00A60BF1" w:rsidRDefault="00CC1678" w:rsidP="006D7B25">
      <w:pPr>
        <w:autoSpaceDE w:val="0"/>
        <w:autoSpaceDN w:val="0"/>
        <w:adjustRightInd w:val="0"/>
        <w:jc w:val="both"/>
        <w:rPr>
          <w:color w:val="000000"/>
          <w:sz w:val="20"/>
          <w:szCs w:val="20"/>
        </w:rPr>
      </w:pPr>
      <w:r w:rsidRPr="006D7B25">
        <w:rPr>
          <w:rFonts w:eastAsia="Times New Roman"/>
          <w:sz w:val="20"/>
          <w:szCs w:val="20"/>
        </w:rPr>
        <w:t xml:space="preserve">Wilson, B. A. (1996). </w:t>
      </w:r>
      <w:r w:rsidRPr="006D7B25">
        <w:rPr>
          <w:rFonts w:eastAsia="Times New Roman"/>
          <w:i/>
          <w:iCs/>
          <w:sz w:val="20"/>
          <w:szCs w:val="20"/>
        </w:rPr>
        <w:t xml:space="preserve">Wilson </w:t>
      </w:r>
      <w:r w:rsidR="00C92D00" w:rsidRPr="006D7B25">
        <w:rPr>
          <w:rFonts w:eastAsia="Times New Roman"/>
          <w:i/>
          <w:iCs/>
          <w:sz w:val="20"/>
          <w:szCs w:val="20"/>
        </w:rPr>
        <w:t>R</w:t>
      </w:r>
      <w:r w:rsidRPr="006D7B25">
        <w:rPr>
          <w:rFonts w:eastAsia="Times New Roman"/>
          <w:i/>
          <w:iCs/>
          <w:sz w:val="20"/>
          <w:szCs w:val="20"/>
        </w:rPr>
        <w:t xml:space="preserve">eading </w:t>
      </w:r>
      <w:r w:rsidR="00C92D00" w:rsidRPr="006D7B25">
        <w:rPr>
          <w:rFonts w:eastAsia="Times New Roman"/>
          <w:i/>
          <w:iCs/>
          <w:sz w:val="20"/>
          <w:szCs w:val="20"/>
        </w:rPr>
        <w:t>S</w:t>
      </w:r>
      <w:r w:rsidRPr="006D7B25">
        <w:rPr>
          <w:rFonts w:eastAsia="Times New Roman"/>
          <w:i/>
          <w:iCs/>
          <w:sz w:val="20"/>
          <w:szCs w:val="20"/>
        </w:rPr>
        <w:t xml:space="preserve">ystem. </w:t>
      </w:r>
      <w:r w:rsidRPr="006D7B25">
        <w:rPr>
          <w:rFonts w:eastAsia="Times New Roman"/>
          <w:sz w:val="20"/>
          <w:szCs w:val="20"/>
        </w:rPr>
        <w:t>Millbury, MA: Wilson Language Training Corporation.</w:t>
      </w:r>
    </w:p>
    <w:p w:rsidR="00570B16" w:rsidRPr="00A60BF1" w:rsidRDefault="00570B16" w:rsidP="006D7B25">
      <w:pPr>
        <w:autoSpaceDE w:val="0"/>
        <w:autoSpaceDN w:val="0"/>
        <w:adjustRightInd w:val="0"/>
        <w:jc w:val="both"/>
        <w:rPr>
          <w:color w:val="000000"/>
          <w:sz w:val="20"/>
          <w:szCs w:val="20"/>
        </w:rPr>
      </w:pPr>
      <w:r w:rsidRPr="006D7B25">
        <w:rPr>
          <w:sz w:val="20"/>
          <w:szCs w:val="20"/>
        </w:rPr>
        <w:t xml:space="preserve">What Works Clearinghouse. (2009). Retrieved September 11, 2009, from </w:t>
      </w:r>
    </w:p>
    <w:p w:rsidR="00A60BF1" w:rsidRDefault="00A60BF1" w:rsidP="00A60BF1">
      <w:pPr>
        <w:autoSpaceDE w:val="0"/>
        <w:autoSpaceDN w:val="0"/>
        <w:adjustRightInd w:val="0"/>
        <w:jc w:val="both"/>
        <w:rPr>
          <w:sz w:val="20"/>
          <w:szCs w:val="20"/>
        </w:rPr>
      </w:pPr>
      <w:r w:rsidRPr="00A60BF1">
        <w:rPr>
          <w:sz w:val="20"/>
          <w:szCs w:val="20"/>
        </w:rPr>
        <w:t>http://ies.ed.gov/ncee/wwc/reports/default.aspx</w:t>
      </w:r>
    </w:p>
    <w:p w:rsidR="002C7706" w:rsidRPr="006D7B25" w:rsidRDefault="00570B16" w:rsidP="00A60BF1">
      <w:pPr>
        <w:autoSpaceDE w:val="0"/>
        <w:autoSpaceDN w:val="0"/>
        <w:adjustRightInd w:val="0"/>
        <w:jc w:val="both"/>
        <w:rPr>
          <w:sz w:val="20"/>
          <w:szCs w:val="20"/>
        </w:rPr>
      </w:pPr>
      <w:r w:rsidRPr="006D7B25">
        <w:rPr>
          <w:sz w:val="20"/>
          <w:szCs w:val="20"/>
        </w:rPr>
        <w:t xml:space="preserve">Woodcock, R. W., McGrew, K. S., &amp; Mather, N. (2001). </w:t>
      </w:r>
      <w:r w:rsidRPr="006D7B25">
        <w:rPr>
          <w:i/>
          <w:sz w:val="20"/>
          <w:szCs w:val="20"/>
        </w:rPr>
        <w:t>Woodcock-Johnson III Achievement Test</w:t>
      </w:r>
      <w:r w:rsidR="009A5BA6">
        <w:rPr>
          <w:sz w:val="20"/>
          <w:szCs w:val="20"/>
        </w:rPr>
        <w:t xml:space="preserve">. </w:t>
      </w:r>
      <w:r w:rsidRPr="006D7B25">
        <w:rPr>
          <w:sz w:val="20"/>
          <w:szCs w:val="20"/>
        </w:rPr>
        <w:t xml:space="preserve">Itasca, IL: Riverside Publishing. </w:t>
      </w:r>
      <w:bookmarkStart w:id="4" w:name="_Toc101595524"/>
      <w:bookmarkEnd w:id="0"/>
      <w:bookmarkEnd w:id="4"/>
    </w:p>
    <w:sectPr w:rsidR="002C7706" w:rsidRPr="006D7B25" w:rsidSect="00892E75">
      <w:headerReference w:type="default" r:id="rId7"/>
      <w:footerReference w:type="even" r:id="rId8"/>
      <w:footerReference w:type="default" r:id="rId9"/>
      <w:headerReference w:type="first" r:id="rId10"/>
      <w:footerReference w:type="first" r:id="rId11"/>
      <w:pgSz w:w="11907" w:h="16839" w:code="9"/>
      <w:pgMar w:top="1440" w:right="1728" w:bottom="1440" w:left="172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65E" w:rsidRDefault="0024765E" w:rsidP="00570B16">
      <w:r>
        <w:separator/>
      </w:r>
    </w:p>
  </w:endnote>
  <w:endnote w:type="continuationSeparator" w:id="0">
    <w:p w:rsidR="0024765E" w:rsidRDefault="0024765E" w:rsidP="00570B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577" w:rsidRDefault="002B265E" w:rsidP="00570B16">
    <w:pPr>
      <w:pStyle w:val="Footer"/>
      <w:framePr w:wrap="around" w:vAnchor="text" w:hAnchor="margin" w:xAlign="right" w:y="1"/>
      <w:rPr>
        <w:rStyle w:val="PageNumber"/>
      </w:rPr>
    </w:pPr>
    <w:r>
      <w:rPr>
        <w:rStyle w:val="PageNumber"/>
      </w:rPr>
      <w:fldChar w:fldCharType="begin"/>
    </w:r>
    <w:r w:rsidR="00ED1577">
      <w:rPr>
        <w:rStyle w:val="PageNumber"/>
      </w:rPr>
      <w:instrText xml:space="preserve">PAGE  </w:instrText>
    </w:r>
    <w:r>
      <w:rPr>
        <w:rStyle w:val="PageNumber"/>
      </w:rPr>
      <w:fldChar w:fldCharType="separate"/>
    </w:r>
    <w:r w:rsidR="00892E75">
      <w:rPr>
        <w:rStyle w:val="PageNumber"/>
        <w:noProof/>
      </w:rPr>
      <w:t>14</w:t>
    </w:r>
    <w:r>
      <w:rPr>
        <w:rStyle w:val="PageNumber"/>
      </w:rPr>
      <w:fldChar w:fldCharType="end"/>
    </w:r>
  </w:p>
  <w:p w:rsidR="00ED1577" w:rsidRDefault="00ED1577" w:rsidP="00570B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577" w:rsidRDefault="002B265E" w:rsidP="00570B16">
    <w:pPr>
      <w:pStyle w:val="Footer"/>
      <w:framePr w:wrap="around" w:vAnchor="text" w:hAnchor="margin" w:xAlign="right" w:y="-263"/>
      <w:rPr>
        <w:rStyle w:val="PageNumber"/>
      </w:rPr>
    </w:pPr>
    <w:r>
      <w:rPr>
        <w:rStyle w:val="PageNumber"/>
      </w:rPr>
      <w:fldChar w:fldCharType="begin"/>
    </w:r>
    <w:r w:rsidR="00ED1577">
      <w:rPr>
        <w:rStyle w:val="PageNumber"/>
      </w:rPr>
      <w:instrText xml:space="preserve">PAGE  </w:instrText>
    </w:r>
    <w:r>
      <w:rPr>
        <w:rStyle w:val="PageNumber"/>
      </w:rPr>
      <w:fldChar w:fldCharType="separate"/>
    </w:r>
    <w:r w:rsidR="005E1BFF">
      <w:rPr>
        <w:rStyle w:val="PageNumber"/>
        <w:noProof/>
      </w:rPr>
      <w:t>1</w:t>
    </w:r>
    <w:r>
      <w:rPr>
        <w:rStyle w:val="PageNumber"/>
      </w:rPr>
      <w:fldChar w:fldCharType="end"/>
    </w:r>
  </w:p>
  <w:p w:rsidR="00ED1577" w:rsidRDefault="00ED1577" w:rsidP="00570B1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762257"/>
      <w:docPartObj>
        <w:docPartGallery w:val="Page Numbers (Bottom of Page)"/>
        <w:docPartUnique/>
      </w:docPartObj>
    </w:sdtPr>
    <w:sdtContent>
      <w:p w:rsidR="006D7B25" w:rsidRDefault="002B265E">
        <w:pPr>
          <w:pStyle w:val="Footer"/>
          <w:jc w:val="right"/>
        </w:pPr>
        <w:fldSimple w:instr=" PAGE   \* MERGEFORMAT ">
          <w:r w:rsidR="00892E75">
            <w:rPr>
              <w:noProof/>
            </w:rPr>
            <w:t>1</w:t>
          </w:r>
        </w:fldSimple>
      </w:p>
    </w:sdtContent>
  </w:sdt>
  <w:p w:rsidR="006D7B25" w:rsidRDefault="006D7B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65E" w:rsidRDefault="0024765E" w:rsidP="00570B16">
      <w:r>
        <w:separator/>
      </w:r>
    </w:p>
  </w:footnote>
  <w:footnote w:type="continuationSeparator" w:id="0">
    <w:p w:rsidR="0024765E" w:rsidRDefault="0024765E" w:rsidP="00570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577" w:rsidRDefault="00892E75">
    <w:pPr>
      <w:pStyle w:val="Header"/>
      <w:jc w:val="right"/>
    </w:pPr>
    <w:r>
      <w:t xml:space="preserve">INTERNATIONAL JOURNAL OF SPECIAL EDUCATION                                     </w:t>
    </w:r>
    <w:proofErr w:type="spellStart"/>
    <w:r>
      <w:t>Vol</w:t>
    </w:r>
    <w:proofErr w:type="spellEnd"/>
    <w:r>
      <w:t xml:space="preserve"> 27, No: 1, 2012</w:t>
    </w:r>
  </w:p>
  <w:p w:rsidR="00ED1577" w:rsidRDefault="00ED1577">
    <w:pPr>
      <w:pStyle w:val="Header"/>
    </w:pPr>
  </w:p>
  <w:p w:rsidR="00ED1577" w:rsidRDefault="00ED1577">
    <w:pPr>
      <w:pStyle w:val="Header"/>
    </w:pPr>
  </w:p>
  <w:p w:rsidR="00ED1577" w:rsidRDefault="00ED1577" w:rsidP="00570B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00" w:rsidRPr="00DC0100" w:rsidRDefault="00DC0100" w:rsidP="00DC0100">
    <w:pPr>
      <w:pStyle w:val="Header"/>
    </w:pPr>
    <w:r>
      <w:t xml:space="preserve">INTERNATIONAL JOURNAL OF SPECIAL EDUCATION                                     </w:t>
    </w:r>
    <w:proofErr w:type="spellStart"/>
    <w:r>
      <w:t>Vol</w:t>
    </w:r>
    <w:proofErr w:type="spellEnd"/>
    <w:r>
      <w:t xml:space="preserve"> 27, No: 1, 20</w:t>
    </w:r>
    <w:r w:rsidRPr="005E6C3C">
      <w:rPr>
        <w:highlight w:val="yellow"/>
      </w:rPr>
      <w:t>11</w:t>
    </w:r>
  </w:p>
  <w:p w:rsidR="00DC0100" w:rsidRDefault="00DC01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3843EC"/>
    <w:lvl w:ilvl="0">
      <w:start w:val="1"/>
      <w:numFmt w:val="decimal"/>
      <w:lvlText w:val="%1."/>
      <w:lvlJc w:val="left"/>
      <w:pPr>
        <w:tabs>
          <w:tab w:val="num" w:pos="1800"/>
        </w:tabs>
        <w:ind w:left="1800" w:hanging="360"/>
      </w:pPr>
    </w:lvl>
  </w:abstractNum>
  <w:abstractNum w:abstractNumId="1">
    <w:nsid w:val="FFFFFF7D"/>
    <w:multiLevelType w:val="singleLevel"/>
    <w:tmpl w:val="564C0666"/>
    <w:lvl w:ilvl="0">
      <w:start w:val="1"/>
      <w:numFmt w:val="decimal"/>
      <w:lvlText w:val="%1."/>
      <w:lvlJc w:val="left"/>
      <w:pPr>
        <w:tabs>
          <w:tab w:val="num" w:pos="1440"/>
        </w:tabs>
        <w:ind w:left="1440" w:hanging="360"/>
      </w:pPr>
    </w:lvl>
  </w:abstractNum>
  <w:abstractNum w:abstractNumId="2">
    <w:nsid w:val="FFFFFF7E"/>
    <w:multiLevelType w:val="singleLevel"/>
    <w:tmpl w:val="49048B1C"/>
    <w:lvl w:ilvl="0">
      <w:start w:val="1"/>
      <w:numFmt w:val="decimal"/>
      <w:lvlText w:val="%1."/>
      <w:lvlJc w:val="left"/>
      <w:pPr>
        <w:tabs>
          <w:tab w:val="num" w:pos="1080"/>
        </w:tabs>
        <w:ind w:left="1080" w:hanging="360"/>
      </w:pPr>
    </w:lvl>
  </w:abstractNum>
  <w:abstractNum w:abstractNumId="3">
    <w:nsid w:val="FFFFFF7F"/>
    <w:multiLevelType w:val="singleLevel"/>
    <w:tmpl w:val="EE12BCAA"/>
    <w:lvl w:ilvl="0">
      <w:start w:val="1"/>
      <w:numFmt w:val="decimal"/>
      <w:lvlText w:val="%1."/>
      <w:lvlJc w:val="left"/>
      <w:pPr>
        <w:tabs>
          <w:tab w:val="num" w:pos="720"/>
        </w:tabs>
        <w:ind w:left="720" w:hanging="360"/>
      </w:pPr>
    </w:lvl>
  </w:abstractNum>
  <w:abstractNum w:abstractNumId="4">
    <w:nsid w:val="FFFFFF80"/>
    <w:multiLevelType w:val="singleLevel"/>
    <w:tmpl w:val="3CC4B0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FE01F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5C39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8ECC8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9A5D4E"/>
    <w:lvl w:ilvl="0">
      <w:start w:val="1"/>
      <w:numFmt w:val="decimal"/>
      <w:lvlText w:val="%1."/>
      <w:lvlJc w:val="left"/>
      <w:pPr>
        <w:tabs>
          <w:tab w:val="num" w:pos="360"/>
        </w:tabs>
        <w:ind w:left="360" w:hanging="360"/>
      </w:pPr>
    </w:lvl>
  </w:abstractNum>
  <w:abstractNum w:abstractNumId="9">
    <w:nsid w:val="FFFFFF89"/>
    <w:multiLevelType w:val="singleLevel"/>
    <w:tmpl w:val="C8060EA2"/>
    <w:lvl w:ilvl="0">
      <w:start w:val="1"/>
      <w:numFmt w:val="bullet"/>
      <w:lvlText w:val=""/>
      <w:lvlJc w:val="left"/>
      <w:pPr>
        <w:tabs>
          <w:tab w:val="num" w:pos="360"/>
        </w:tabs>
        <w:ind w:left="360" w:hanging="360"/>
      </w:pPr>
      <w:rPr>
        <w:rFonts w:ascii="Symbol" w:hAnsi="Symbol" w:hint="default"/>
      </w:rPr>
    </w:lvl>
  </w:abstractNum>
  <w:abstractNum w:abstractNumId="10">
    <w:nsid w:val="2BFF1BC6"/>
    <w:multiLevelType w:val="hybridMultilevel"/>
    <w:tmpl w:val="9DF42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4952FC"/>
    <w:multiLevelType w:val="hybridMultilevel"/>
    <w:tmpl w:val="B568C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rawingGridVerticalSpacing w:val="360"/>
  <w:displayHorizontalDrawingGridEvery w:val="0"/>
  <w:displayVerticalDrawingGridEvery w:val="0"/>
  <w:characterSpacingControl w:val="doNotCompress"/>
  <w:hdrShapeDefaults>
    <o:shapedefaults v:ext="edit" spidmax="19457"/>
  </w:hdrShapeDefaults>
  <w:footnotePr>
    <w:footnote w:id="-1"/>
    <w:footnote w:id="0"/>
  </w:footnotePr>
  <w:endnotePr>
    <w:endnote w:id="-1"/>
    <w:endnote w:id="0"/>
  </w:endnotePr>
  <w:compat/>
  <w:rsids>
    <w:rsidRoot w:val="00122C1E"/>
    <w:rsid w:val="0001078A"/>
    <w:rsid w:val="00011E6F"/>
    <w:rsid w:val="00015D33"/>
    <w:rsid w:val="00020788"/>
    <w:rsid w:val="00022FA5"/>
    <w:rsid w:val="0003122D"/>
    <w:rsid w:val="00034F47"/>
    <w:rsid w:val="00034F4E"/>
    <w:rsid w:val="00040E05"/>
    <w:rsid w:val="00045413"/>
    <w:rsid w:val="00050232"/>
    <w:rsid w:val="00051A45"/>
    <w:rsid w:val="000550FD"/>
    <w:rsid w:val="00056463"/>
    <w:rsid w:val="000647A3"/>
    <w:rsid w:val="00064CD1"/>
    <w:rsid w:val="00071832"/>
    <w:rsid w:val="00073DC2"/>
    <w:rsid w:val="000830C5"/>
    <w:rsid w:val="00086645"/>
    <w:rsid w:val="0009027F"/>
    <w:rsid w:val="000904FC"/>
    <w:rsid w:val="000928AC"/>
    <w:rsid w:val="000A10DB"/>
    <w:rsid w:val="000A46A2"/>
    <w:rsid w:val="000A66FB"/>
    <w:rsid w:val="000B3A14"/>
    <w:rsid w:val="000B3EB6"/>
    <w:rsid w:val="000B4A61"/>
    <w:rsid w:val="000C0AA4"/>
    <w:rsid w:val="000D4595"/>
    <w:rsid w:val="000D45C8"/>
    <w:rsid w:val="000D45F8"/>
    <w:rsid w:val="000D4BF8"/>
    <w:rsid w:val="000D5B28"/>
    <w:rsid w:val="000E02D9"/>
    <w:rsid w:val="000E1CA2"/>
    <w:rsid w:val="000F374E"/>
    <w:rsid w:val="000F4B09"/>
    <w:rsid w:val="001012B2"/>
    <w:rsid w:val="0010246D"/>
    <w:rsid w:val="001073C3"/>
    <w:rsid w:val="00110924"/>
    <w:rsid w:val="0011303C"/>
    <w:rsid w:val="00121D34"/>
    <w:rsid w:val="00122B9A"/>
    <w:rsid w:val="00122C1E"/>
    <w:rsid w:val="00123171"/>
    <w:rsid w:val="00123F8B"/>
    <w:rsid w:val="00135E8C"/>
    <w:rsid w:val="0013737B"/>
    <w:rsid w:val="00141783"/>
    <w:rsid w:val="00142F67"/>
    <w:rsid w:val="00147872"/>
    <w:rsid w:val="001508A6"/>
    <w:rsid w:val="00154131"/>
    <w:rsid w:val="00156875"/>
    <w:rsid w:val="0015735A"/>
    <w:rsid w:val="00157CDC"/>
    <w:rsid w:val="0016241B"/>
    <w:rsid w:val="001631EF"/>
    <w:rsid w:val="0016366A"/>
    <w:rsid w:val="00174E17"/>
    <w:rsid w:val="00175B4E"/>
    <w:rsid w:val="001854E4"/>
    <w:rsid w:val="00185A98"/>
    <w:rsid w:val="00191432"/>
    <w:rsid w:val="00192955"/>
    <w:rsid w:val="00193829"/>
    <w:rsid w:val="00195657"/>
    <w:rsid w:val="001976E1"/>
    <w:rsid w:val="001A22B9"/>
    <w:rsid w:val="001A351F"/>
    <w:rsid w:val="001A4A73"/>
    <w:rsid w:val="001A75EB"/>
    <w:rsid w:val="001B4552"/>
    <w:rsid w:val="001B7452"/>
    <w:rsid w:val="001C15FF"/>
    <w:rsid w:val="001C1B62"/>
    <w:rsid w:val="001C2599"/>
    <w:rsid w:val="001C3828"/>
    <w:rsid w:val="001C451D"/>
    <w:rsid w:val="001C6CED"/>
    <w:rsid w:val="001D2D3F"/>
    <w:rsid w:val="001D47C8"/>
    <w:rsid w:val="001D5427"/>
    <w:rsid w:val="001E253F"/>
    <w:rsid w:val="001E30A4"/>
    <w:rsid w:val="001E7563"/>
    <w:rsid w:val="001F0C40"/>
    <w:rsid w:val="001F0E8F"/>
    <w:rsid w:val="001F3BF5"/>
    <w:rsid w:val="001F5D97"/>
    <w:rsid w:val="001F625C"/>
    <w:rsid w:val="001F6AD2"/>
    <w:rsid w:val="002037FD"/>
    <w:rsid w:val="00206EC5"/>
    <w:rsid w:val="00207FB8"/>
    <w:rsid w:val="00212F56"/>
    <w:rsid w:val="00213520"/>
    <w:rsid w:val="002275D3"/>
    <w:rsid w:val="00230BD0"/>
    <w:rsid w:val="0023347D"/>
    <w:rsid w:val="002375DC"/>
    <w:rsid w:val="002411E8"/>
    <w:rsid w:val="00242004"/>
    <w:rsid w:val="00246286"/>
    <w:rsid w:val="0024765E"/>
    <w:rsid w:val="00251C24"/>
    <w:rsid w:val="002526A7"/>
    <w:rsid w:val="00252BAD"/>
    <w:rsid w:val="00260BC6"/>
    <w:rsid w:val="00262C23"/>
    <w:rsid w:val="00265277"/>
    <w:rsid w:val="00266BF8"/>
    <w:rsid w:val="00273633"/>
    <w:rsid w:val="00276417"/>
    <w:rsid w:val="00276680"/>
    <w:rsid w:val="00276AA8"/>
    <w:rsid w:val="00276E9F"/>
    <w:rsid w:val="00277CD1"/>
    <w:rsid w:val="00284EFA"/>
    <w:rsid w:val="0028690C"/>
    <w:rsid w:val="00286DED"/>
    <w:rsid w:val="0028773B"/>
    <w:rsid w:val="00291FE7"/>
    <w:rsid w:val="00293E06"/>
    <w:rsid w:val="00296A33"/>
    <w:rsid w:val="002A23E6"/>
    <w:rsid w:val="002A3C56"/>
    <w:rsid w:val="002A7777"/>
    <w:rsid w:val="002B22A0"/>
    <w:rsid w:val="002B265E"/>
    <w:rsid w:val="002B6576"/>
    <w:rsid w:val="002C1890"/>
    <w:rsid w:val="002C29E1"/>
    <w:rsid w:val="002C5F4F"/>
    <w:rsid w:val="002C7706"/>
    <w:rsid w:val="002D0AD5"/>
    <w:rsid w:val="002E3C3D"/>
    <w:rsid w:val="002E4354"/>
    <w:rsid w:val="002E6DE4"/>
    <w:rsid w:val="002F1460"/>
    <w:rsid w:val="002F23D7"/>
    <w:rsid w:val="002F45CA"/>
    <w:rsid w:val="002F5956"/>
    <w:rsid w:val="00300239"/>
    <w:rsid w:val="00305036"/>
    <w:rsid w:val="00305DDD"/>
    <w:rsid w:val="003140BD"/>
    <w:rsid w:val="00324A65"/>
    <w:rsid w:val="0032689F"/>
    <w:rsid w:val="00327CE8"/>
    <w:rsid w:val="0033739D"/>
    <w:rsid w:val="0034063B"/>
    <w:rsid w:val="00342E7F"/>
    <w:rsid w:val="003430DB"/>
    <w:rsid w:val="003439A1"/>
    <w:rsid w:val="00346AB2"/>
    <w:rsid w:val="00346EBF"/>
    <w:rsid w:val="00350D80"/>
    <w:rsid w:val="00355933"/>
    <w:rsid w:val="00355ACD"/>
    <w:rsid w:val="003560D3"/>
    <w:rsid w:val="003576E8"/>
    <w:rsid w:val="00357A5D"/>
    <w:rsid w:val="00360538"/>
    <w:rsid w:val="00362569"/>
    <w:rsid w:val="00366152"/>
    <w:rsid w:val="003709B3"/>
    <w:rsid w:val="00370CEC"/>
    <w:rsid w:val="0037669B"/>
    <w:rsid w:val="003811D3"/>
    <w:rsid w:val="00384296"/>
    <w:rsid w:val="003848E3"/>
    <w:rsid w:val="00384982"/>
    <w:rsid w:val="003875C9"/>
    <w:rsid w:val="003909A6"/>
    <w:rsid w:val="003945D8"/>
    <w:rsid w:val="00394659"/>
    <w:rsid w:val="0039466E"/>
    <w:rsid w:val="003956FD"/>
    <w:rsid w:val="0039570D"/>
    <w:rsid w:val="00395B57"/>
    <w:rsid w:val="003A285D"/>
    <w:rsid w:val="003A4BE7"/>
    <w:rsid w:val="003A6072"/>
    <w:rsid w:val="003B0CED"/>
    <w:rsid w:val="003B1518"/>
    <w:rsid w:val="003B1B00"/>
    <w:rsid w:val="003B4F95"/>
    <w:rsid w:val="003B7635"/>
    <w:rsid w:val="003C15BD"/>
    <w:rsid w:val="003C32ED"/>
    <w:rsid w:val="003C3F0E"/>
    <w:rsid w:val="003C4DA7"/>
    <w:rsid w:val="003C7726"/>
    <w:rsid w:val="003D4DEF"/>
    <w:rsid w:val="003D5038"/>
    <w:rsid w:val="003D510C"/>
    <w:rsid w:val="003D71D8"/>
    <w:rsid w:val="003E139F"/>
    <w:rsid w:val="003E4278"/>
    <w:rsid w:val="003E558E"/>
    <w:rsid w:val="003E5A41"/>
    <w:rsid w:val="003E69E3"/>
    <w:rsid w:val="003F4C62"/>
    <w:rsid w:val="003F6BA8"/>
    <w:rsid w:val="00400873"/>
    <w:rsid w:val="00402170"/>
    <w:rsid w:val="004118AD"/>
    <w:rsid w:val="00412BB2"/>
    <w:rsid w:val="00413546"/>
    <w:rsid w:val="00413598"/>
    <w:rsid w:val="004152BD"/>
    <w:rsid w:val="00423FB0"/>
    <w:rsid w:val="00427D47"/>
    <w:rsid w:val="00434FBE"/>
    <w:rsid w:val="004353BE"/>
    <w:rsid w:val="004372F7"/>
    <w:rsid w:val="00444984"/>
    <w:rsid w:val="00447D5E"/>
    <w:rsid w:val="0045131E"/>
    <w:rsid w:val="004519F6"/>
    <w:rsid w:val="00451B63"/>
    <w:rsid w:val="0045591B"/>
    <w:rsid w:val="0045666C"/>
    <w:rsid w:val="00457878"/>
    <w:rsid w:val="00465415"/>
    <w:rsid w:val="0046745C"/>
    <w:rsid w:val="00476083"/>
    <w:rsid w:val="00483DE8"/>
    <w:rsid w:val="004854A2"/>
    <w:rsid w:val="0048711C"/>
    <w:rsid w:val="004873F6"/>
    <w:rsid w:val="00491F5B"/>
    <w:rsid w:val="00492E06"/>
    <w:rsid w:val="0049524B"/>
    <w:rsid w:val="004A0238"/>
    <w:rsid w:val="004A1D25"/>
    <w:rsid w:val="004B3530"/>
    <w:rsid w:val="004B5942"/>
    <w:rsid w:val="004C036D"/>
    <w:rsid w:val="004C07CE"/>
    <w:rsid w:val="004C13EA"/>
    <w:rsid w:val="004C30FD"/>
    <w:rsid w:val="004C4D45"/>
    <w:rsid w:val="004E03AD"/>
    <w:rsid w:val="004E5B0A"/>
    <w:rsid w:val="005016A4"/>
    <w:rsid w:val="005024E0"/>
    <w:rsid w:val="00502D00"/>
    <w:rsid w:val="0050375B"/>
    <w:rsid w:val="00505761"/>
    <w:rsid w:val="00506DF8"/>
    <w:rsid w:val="005116AC"/>
    <w:rsid w:val="0051390A"/>
    <w:rsid w:val="005139C5"/>
    <w:rsid w:val="005149B0"/>
    <w:rsid w:val="00527574"/>
    <w:rsid w:val="00527E4B"/>
    <w:rsid w:val="005330BE"/>
    <w:rsid w:val="00535FCD"/>
    <w:rsid w:val="005376F2"/>
    <w:rsid w:val="00537D62"/>
    <w:rsid w:val="00541C94"/>
    <w:rsid w:val="00542494"/>
    <w:rsid w:val="00561AF5"/>
    <w:rsid w:val="00562B78"/>
    <w:rsid w:val="00565D27"/>
    <w:rsid w:val="00570B16"/>
    <w:rsid w:val="00574A13"/>
    <w:rsid w:val="00582386"/>
    <w:rsid w:val="00594EE1"/>
    <w:rsid w:val="005974DB"/>
    <w:rsid w:val="005A1285"/>
    <w:rsid w:val="005A1A72"/>
    <w:rsid w:val="005A5F61"/>
    <w:rsid w:val="005A65A3"/>
    <w:rsid w:val="005B33CC"/>
    <w:rsid w:val="005B4215"/>
    <w:rsid w:val="005B5A31"/>
    <w:rsid w:val="005B5DA4"/>
    <w:rsid w:val="005D0350"/>
    <w:rsid w:val="005D5E53"/>
    <w:rsid w:val="005D5ECF"/>
    <w:rsid w:val="005E038B"/>
    <w:rsid w:val="005E1BFF"/>
    <w:rsid w:val="005E2F10"/>
    <w:rsid w:val="005E6C3C"/>
    <w:rsid w:val="005F6740"/>
    <w:rsid w:val="00600BFC"/>
    <w:rsid w:val="00601444"/>
    <w:rsid w:val="00602C61"/>
    <w:rsid w:val="00613D54"/>
    <w:rsid w:val="00614F7A"/>
    <w:rsid w:val="00616A23"/>
    <w:rsid w:val="00616CC6"/>
    <w:rsid w:val="00617A8A"/>
    <w:rsid w:val="006209BD"/>
    <w:rsid w:val="00623EE1"/>
    <w:rsid w:val="00640925"/>
    <w:rsid w:val="00646362"/>
    <w:rsid w:val="00646CC6"/>
    <w:rsid w:val="00650394"/>
    <w:rsid w:val="006640E6"/>
    <w:rsid w:val="00667384"/>
    <w:rsid w:val="0067378A"/>
    <w:rsid w:val="00674991"/>
    <w:rsid w:val="006766DB"/>
    <w:rsid w:val="00683263"/>
    <w:rsid w:val="00685DCB"/>
    <w:rsid w:val="006900BB"/>
    <w:rsid w:val="0069123F"/>
    <w:rsid w:val="006954B0"/>
    <w:rsid w:val="006A3082"/>
    <w:rsid w:val="006A48BA"/>
    <w:rsid w:val="006B021B"/>
    <w:rsid w:val="006B58E0"/>
    <w:rsid w:val="006B5BCE"/>
    <w:rsid w:val="006B7A73"/>
    <w:rsid w:val="006C1B77"/>
    <w:rsid w:val="006C7CE0"/>
    <w:rsid w:val="006D27BD"/>
    <w:rsid w:val="006D5740"/>
    <w:rsid w:val="006D7B25"/>
    <w:rsid w:val="006E4D7A"/>
    <w:rsid w:val="006E4E5D"/>
    <w:rsid w:val="006F6487"/>
    <w:rsid w:val="006F6C44"/>
    <w:rsid w:val="00700505"/>
    <w:rsid w:val="00705FED"/>
    <w:rsid w:val="00711095"/>
    <w:rsid w:val="00712182"/>
    <w:rsid w:val="00716525"/>
    <w:rsid w:val="0072356B"/>
    <w:rsid w:val="007251A3"/>
    <w:rsid w:val="007313D6"/>
    <w:rsid w:val="0073255C"/>
    <w:rsid w:val="007325FB"/>
    <w:rsid w:val="00734E95"/>
    <w:rsid w:val="00735B59"/>
    <w:rsid w:val="00735E36"/>
    <w:rsid w:val="00736BB3"/>
    <w:rsid w:val="007378C0"/>
    <w:rsid w:val="00744D21"/>
    <w:rsid w:val="00750957"/>
    <w:rsid w:val="00753A0E"/>
    <w:rsid w:val="00754BDF"/>
    <w:rsid w:val="00756B56"/>
    <w:rsid w:val="007628DB"/>
    <w:rsid w:val="007645FA"/>
    <w:rsid w:val="00764CB9"/>
    <w:rsid w:val="00765B88"/>
    <w:rsid w:val="00766F6F"/>
    <w:rsid w:val="007701BE"/>
    <w:rsid w:val="0077168E"/>
    <w:rsid w:val="0077295D"/>
    <w:rsid w:val="00775BCA"/>
    <w:rsid w:val="00781C2D"/>
    <w:rsid w:val="00781E9E"/>
    <w:rsid w:val="00783739"/>
    <w:rsid w:val="00787B30"/>
    <w:rsid w:val="00790409"/>
    <w:rsid w:val="00792187"/>
    <w:rsid w:val="007A2CA0"/>
    <w:rsid w:val="007A32DB"/>
    <w:rsid w:val="007A5202"/>
    <w:rsid w:val="007A572B"/>
    <w:rsid w:val="007A58F7"/>
    <w:rsid w:val="007A7A5C"/>
    <w:rsid w:val="007B41F6"/>
    <w:rsid w:val="007B458E"/>
    <w:rsid w:val="007B52FB"/>
    <w:rsid w:val="007B5A89"/>
    <w:rsid w:val="007B6AD3"/>
    <w:rsid w:val="007B7014"/>
    <w:rsid w:val="007C1A93"/>
    <w:rsid w:val="007C4D63"/>
    <w:rsid w:val="007D0AAD"/>
    <w:rsid w:val="007D26F9"/>
    <w:rsid w:val="007D5BDB"/>
    <w:rsid w:val="007D7AD9"/>
    <w:rsid w:val="007E1EC3"/>
    <w:rsid w:val="007E5800"/>
    <w:rsid w:val="007E6AAE"/>
    <w:rsid w:val="007F3EAB"/>
    <w:rsid w:val="007F40D4"/>
    <w:rsid w:val="007F416A"/>
    <w:rsid w:val="007F6779"/>
    <w:rsid w:val="007F7B83"/>
    <w:rsid w:val="00800140"/>
    <w:rsid w:val="00803B13"/>
    <w:rsid w:val="00806FF6"/>
    <w:rsid w:val="00810496"/>
    <w:rsid w:val="00811F00"/>
    <w:rsid w:val="0081792D"/>
    <w:rsid w:val="00817A4B"/>
    <w:rsid w:val="008206A5"/>
    <w:rsid w:val="00820DE4"/>
    <w:rsid w:val="00821E77"/>
    <w:rsid w:val="00822D9D"/>
    <w:rsid w:val="00823AE6"/>
    <w:rsid w:val="008241B6"/>
    <w:rsid w:val="0082767C"/>
    <w:rsid w:val="0083272D"/>
    <w:rsid w:val="00834677"/>
    <w:rsid w:val="00842279"/>
    <w:rsid w:val="00843D3C"/>
    <w:rsid w:val="0085012E"/>
    <w:rsid w:val="00851A48"/>
    <w:rsid w:val="0086007F"/>
    <w:rsid w:val="00860BF7"/>
    <w:rsid w:val="00864C40"/>
    <w:rsid w:val="00870BD3"/>
    <w:rsid w:val="008719F9"/>
    <w:rsid w:val="00874235"/>
    <w:rsid w:val="00874374"/>
    <w:rsid w:val="0087527F"/>
    <w:rsid w:val="0087588A"/>
    <w:rsid w:val="00876B25"/>
    <w:rsid w:val="0088292B"/>
    <w:rsid w:val="00886DA1"/>
    <w:rsid w:val="0089005B"/>
    <w:rsid w:val="00892E75"/>
    <w:rsid w:val="008943FB"/>
    <w:rsid w:val="0089569F"/>
    <w:rsid w:val="00895AA5"/>
    <w:rsid w:val="008A37F8"/>
    <w:rsid w:val="008A3B9F"/>
    <w:rsid w:val="008B4A94"/>
    <w:rsid w:val="008B7E6C"/>
    <w:rsid w:val="008C17BA"/>
    <w:rsid w:val="008C17DF"/>
    <w:rsid w:val="008C4F18"/>
    <w:rsid w:val="008C6145"/>
    <w:rsid w:val="008C74DD"/>
    <w:rsid w:val="008D0143"/>
    <w:rsid w:val="008D03A3"/>
    <w:rsid w:val="008D056A"/>
    <w:rsid w:val="008D28AE"/>
    <w:rsid w:val="008D33D3"/>
    <w:rsid w:val="008D3546"/>
    <w:rsid w:val="008D3B5F"/>
    <w:rsid w:val="008D6339"/>
    <w:rsid w:val="008E12FD"/>
    <w:rsid w:val="008E340C"/>
    <w:rsid w:val="008E38CD"/>
    <w:rsid w:val="008E4A9C"/>
    <w:rsid w:val="008E6A99"/>
    <w:rsid w:val="008F2D16"/>
    <w:rsid w:val="00902C3C"/>
    <w:rsid w:val="00903419"/>
    <w:rsid w:val="00916252"/>
    <w:rsid w:val="009174DB"/>
    <w:rsid w:val="009206FB"/>
    <w:rsid w:val="0092563F"/>
    <w:rsid w:val="00935988"/>
    <w:rsid w:val="00937E2F"/>
    <w:rsid w:val="00940FBB"/>
    <w:rsid w:val="009418F0"/>
    <w:rsid w:val="00941A76"/>
    <w:rsid w:val="00943206"/>
    <w:rsid w:val="00943DE9"/>
    <w:rsid w:val="00944BDB"/>
    <w:rsid w:val="00945002"/>
    <w:rsid w:val="00947C90"/>
    <w:rsid w:val="009531CE"/>
    <w:rsid w:val="00953709"/>
    <w:rsid w:val="0095376C"/>
    <w:rsid w:val="009713CE"/>
    <w:rsid w:val="00973EAC"/>
    <w:rsid w:val="00974A01"/>
    <w:rsid w:val="00977465"/>
    <w:rsid w:val="009808DC"/>
    <w:rsid w:val="009814D5"/>
    <w:rsid w:val="00982AAB"/>
    <w:rsid w:val="00983DAE"/>
    <w:rsid w:val="00984298"/>
    <w:rsid w:val="00994789"/>
    <w:rsid w:val="00994B48"/>
    <w:rsid w:val="00996787"/>
    <w:rsid w:val="00996C3D"/>
    <w:rsid w:val="009A2CAB"/>
    <w:rsid w:val="009A51DB"/>
    <w:rsid w:val="009A57A8"/>
    <w:rsid w:val="009A5BA6"/>
    <w:rsid w:val="009A711D"/>
    <w:rsid w:val="009C24FA"/>
    <w:rsid w:val="009C454F"/>
    <w:rsid w:val="009C4657"/>
    <w:rsid w:val="009C67BA"/>
    <w:rsid w:val="009D1F4A"/>
    <w:rsid w:val="009D2F36"/>
    <w:rsid w:val="009E09C6"/>
    <w:rsid w:val="009F545E"/>
    <w:rsid w:val="009F758F"/>
    <w:rsid w:val="00A00D64"/>
    <w:rsid w:val="00A07171"/>
    <w:rsid w:val="00A16AE8"/>
    <w:rsid w:val="00A17E49"/>
    <w:rsid w:val="00A213C0"/>
    <w:rsid w:val="00A25374"/>
    <w:rsid w:val="00A25869"/>
    <w:rsid w:val="00A33AF4"/>
    <w:rsid w:val="00A35362"/>
    <w:rsid w:val="00A3757F"/>
    <w:rsid w:val="00A378E4"/>
    <w:rsid w:val="00A37957"/>
    <w:rsid w:val="00A46C12"/>
    <w:rsid w:val="00A47118"/>
    <w:rsid w:val="00A504BD"/>
    <w:rsid w:val="00A50F71"/>
    <w:rsid w:val="00A53ACA"/>
    <w:rsid w:val="00A54B0A"/>
    <w:rsid w:val="00A568B4"/>
    <w:rsid w:val="00A57E4D"/>
    <w:rsid w:val="00A60BF1"/>
    <w:rsid w:val="00A6253D"/>
    <w:rsid w:val="00A751B6"/>
    <w:rsid w:val="00A840BF"/>
    <w:rsid w:val="00A84C7F"/>
    <w:rsid w:val="00A9400D"/>
    <w:rsid w:val="00AA00E8"/>
    <w:rsid w:val="00AA047C"/>
    <w:rsid w:val="00AA092D"/>
    <w:rsid w:val="00AA0A44"/>
    <w:rsid w:val="00AA780E"/>
    <w:rsid w:val="00AB07C4"/>
    <w:rsid w:val="00AB280C"/>
    <w:rsid w:val="00AB3FF3"/>
    <w:rsid w:val="00AC0498"/>
    <w:rsid w:val="00AD0945"/>
    <w:rsid w:val="00AD2A89"/>
    <w:rsid w:val="00AD62A0"/>
    <w:rsid w:val="00AE53C7"/>
    <w:rsid w:val="00AE67AD"/>
    <w:rsid w:val="00AF22A4"/>
    <w:rsid w:val="00AF67B9"/>
    <w:rsid w:val="00B05405"/>
    <w:rsid w:val="00B0575A"/>
    <w:rsid w:val="00B11003"/>
    <w:rsid w:val="00B1291F"/>
    <w:rsid w:val="00B15855"/>
    <w:rsid w:val="00B23AD2"/>
    <w:rsid w:val="00B26C20"/>
    <w:rsid w:val="00B36808"/>
    <w:rsid w:val="00B42986"/>
    <w:rsid w:val="00B42BBD"/>
    <w:rsid w:val="00B43004"/>
    <w:rsid w:val="00B44FEC"/>
    <w:rsid w:val="00B46702"/>
    <w:rsid w:val="00B46A5A"/>
    <w:rsid w:val="00B478A7"/>
    <w:rsid w:val="00B515FA"/>
    <w:rsid w:val="00B52BE8"/>
    <w:rsid w:val="00B542B8"/>
    <w:rsid w:val="00B56654"/>
    <w:rsid w:val="00B57E74"/>
    <w:rsid w:val="00B60D39"/>
    <w:rsid w:val="00B6462C"/>
    <w:rsid w:val="00B64D6E"/>
    <w:rsid w:val="00B7028F"/>
    <w:rsid w:val="00B74378"/>
    <w:rsid w:val="00B7589B"/>
    <w:rsid w:val="00B804E4"/>
    <w:rsid w:val="00B845FB"/>
    <w:rsid w:val="00B84D13"/>
    <w:rsid w:val="00B85AE4"/>
    <w:rsid w:val="00B96C0C"/>
    <w:rsid w:val="00BA5996"/>
    <w:rsid w:val="00BA6507"/>
    <w:rsid w:val="00BB7FBA"/>
    <w:rsid w:val="00BC2B98"/>
    <w:rsid w:val="00BC4B07"/>
    <w:rsid w:val="00BD15F3"/>
    <w:rsid w:val="00BD36F3"/>
    <w:rsid w:val="00BD653F"/>
    <w:rsid w:val="00BE69CE"/>
    <w:rsid w:val="00BE7005"/>
    <w:rsid w:val="00BE7150"/>
    <w:rsid w:val="00BF0C7F"/>
    <w:rsid w:val="00BF45C4"/>
    <w:rsid w:val="00BF49EE"/>
    <w:rsid w:val="00BF7768"/>
    <w:rsid w:val="00BF798E"/>
    <w:rsid w:val="00C01854"/>
    <w:rsid w:val="00C01C92"/>
    <w:rsid w:val="00C05550"/>
    <w:rsid w:val="00C1003C"/>
    <w:rsid w:val="00C10072"/>
    <w:rsid w:val="00C111DB"/>
    <w:rsid w:val="00C13162"/>
    <w:rsid w:val="00C14211"/>
    <w:rsid w:val="00C25FB2"/>
    <w:rsid w:val="00C27255"/>
    <w:rsid w:val="00C32C5C"/>
    <w:rsid w:val="00C3376E"/>
    <w:rsid w:val="00C37132"/>
    <w:rsid w:val="00C46CB0"/>
    <w:rsid w:val="00C500BD"/>
    <w:rsid w:val="00C50245"/>
    <w:rsid w:val="00C51060"/>
    <w:rsid w:val="00C539E5"/>
    <w:rsid w:val="00C54113"/>
    <w:rsid w:val="00C5438F"/>
    <w:rsid w:val="00C563A4"/>
    <w:rsid w:val="00C62CE8"/>
    <w:rsid w:val="00C87E5C"/>
    <w:rsid w:val="00C91E57"/>
    <w:rsid w:val="00C92D00"/>
    <w:rsid w:val="00C97E5B"/>
    <w:rsid w:val="00CA578F"/>
    <w:rsid w:val="00CA6283"/>
    <w:rsid w:val="00CB3EFA"/>
    <w:rsid w:val="00CB5294"/>
    <w:rsid w:val="00CC13BC"/>
    <w:rsid w:val="00CC1678"/>
    <w:rsid w:val="00CC2ED0"/>
    <w:rsid w:val="00CC3733"/>
    <w:rsid w:val="00CC3D4A"/>
    <w:rsid w:val="00CC55D6"/>
    <w:rsid w:val="00CC5E97"/>
    <w:rsid w:val="00CC5FE5"/>
    <w:rsid w:val="00CC6408"/>
    <w:rsid w:val="00CD08DE"/>
    <w:rsid w:val="00CD2B67"/>
    <w:rsid w:val="00CD484A"/>
    <w:rsid w:val="00CD6E66"/>
    <w:rsid w:val="00CD7D8E"/>
    <w:rsid w:val="00CE0346"/>
    <w:rsid w:val="00CE4906"/>
    <w:rsid w:val="00CE6390"/>
    <w:rsid w:val="00CE79EA"/>
    <w:rsid w:val="00CF1AC6"/>
    <w:rsid w:val="00CF698E"/>
    <w:rsid w:val="00CF7E01"/>
    <w:rsid w:val="00D0031B"/>
    <w:rsid w:val="00D00450"/>
    <w:rsid w:val="00D0120F"/>
    <w:rsid w:val="00D06FF0"/>
    <w:rsid w:val="00D11424"/>
    <w:rsid w:val="00D12A82"/>
    <w:rsid w:val="00D15669"/>
    <w:rsid w:val="00D2023A"/>
    <w:rsid w:val="00D22510"/>
    <w:rsid w:val="00D261D2"/>
    <w:rsid w:val="00D26922"/>
    <w:rsid w:val="00D2750F"/>
    <w:rsid w:val="00D27608"/>
    <w:rsid w:val="00D30F22"/>
    <w:rsid w:val="00D3369E"/>
    <w:rsid w:val="00D34947"/>
    <w:rsid w:val="00D34ACA"/>
    <w:rsid w:val="00D4202A"/>
    <w:rsid w:val="00D460B8"/>
    <w:rsid w:val="00D50AD8"/>
    <w:rsid w:val="00D51AA4"/>
    <w:rsid w:val="00D5383C"/>
    <w:rsid w:val="00D609FD"/>
    <w:rsid w:val="00D60E7A"/>
    <w:rsid w:val="00D61326"/>
    <w:rsid w:val="00D64321"/>
    <w:rsid w:val="00D6475F"/>
    <w:rsid w:val="00D666C4"/>
    <w:rsid w:val="00D6692D"/>
    <w:rsid w:val="00D67D2A"/>
    <w:rsid w:val="00D710F6"/>
    <w:rsid w:val="00D74465"/>
    <w:rsid w:val="00D82C05"/>
    <w:rsid w:val="00D84157"/>
    <w:rsid w:val="00D85DE9"/>
    <w:rsid w:val="00D91749"/>
    <w:rsid w:val="00DA1687"/>
    <w:rsid w:val="00DA27AB"/>
    <w:rsid w:val="00DA6E2C"/>
    <w:rsid w:val="00DB33BD"/>
    <w:rsid w:val="00DB36A8"/>
    <w:rsid w:val="00DB4BF0"/>
    <w:rsid w:val="00DB5173"/>
    <w:rsid w:val="00DB53FA"/>
    <w:rsid w:val="00DB5713"/>
    <w:rsid w:val="00DB74E6"/>
    <w:rsid w:val="00DB7719"/>
    <w:rsid w:val="00DB797C"/>
    <w:rsid w:val="00DC0100"/>
    <w:rsid w:val="00DD120E"/>
    <w:rsid w:val="00DD4078"/>
    <w:rsid w:val="00DD71B3"/>
    <w:rsid w:val="00DE2F41"/>
    <w:rsid w:val="00DE4DDD"/>
    <w:rsid w:val="00DE5553"/>
    <w:rsid w:val="00DE7107"/>
    <w:rsid w:val="00DF09E2"/>
    <w:rsid w:val="00DF2DEA"/>
    <w:rsid w:val="00E00837"/>
    <w:rsid w:val="00E0616E"/>
    <w:rsid w:val="00E07734"/>
    <w:rsid w:val="00E07B89"/>
    <w:rsid w:val="00E11812"/>
    <w:rsid w:val="00E127DA"/>
    <w:rsid w:val="00E2390A"/>
    <w:rsid w:val="00E2545C"/>
    <w:rsid w:val="00E27E07"/>
    <w:rsid w:val="00E30544"/>
    <w:rsid w:val="00E40728"/>
    <w:rsid w:val="00E40CC0"/>
    <w:rsid w:val="00E42288"/>
    <w:rsid w:val="00E43C46"/>
    <w:rsid w:val="00E442FC"/>
    <w:rsid w:val="00E47093"/>
    <w:rsid w:val="00E4795E"/>
    <w:rsid w:val="00E64B92"/>
    <w:rsid w:val="00E729FE"/>
    <w:rsid w:val="00E74366"/>
    <w:rsid w:val="00E80611"/>
    <w:rsid w:val="00E8146A"/>
    <w:rsid w:val="00E873AF"/>
    <w:rsid w:val="00E936AA"/>
    <w:rsid w:val="00E9472B"/>
    <w:rsid w:val="00E96EA8"/>
    <w:rsid w:val="00EA129C"/>
    <w:rsid w:val="00EA3491"/>
    <w:rsid w:val="00EA36B9"/>
    <w:rsid w:val="00EA55C3"/>
    <w:rsid w:val="00EB3B3B"/>
    <w:rsid w:val="00EC2A59"/>
    <w:rsid w:val="00EC40D5"/>
    <w:rsid w:val="00ED1577"/>
    <w:rsid w:val="00ED7901"/>
    <w:rsid w:val="00EE37B1"/>
    <w:rsid w:val="00EE54E2"/>
    <w:rsid w:val="00EE7948"/>
    <w:rsid w:val="00EF335B"/>
    <w:rsid w:val="00EF35B3"/>
    <w:rsid w:val="00EF57B3"/>
    <w:rsid w:val="00EF5C7A"/>
    <w:rsid w:val="00F009A7"/>
    <w:rsid w:val="00F0251F"/>
    <w:rsid w:val="00F10739"/>
    <w:rsid w:val="00F15259"/>
    <w:rsid w:val="00F17378"/>
    <w:rsid w:val="00F176B1"/>
    <w:rsid w:val="00F21A06"/>
    <w:rsid w:val="00F23037"/>
    <w:rsid w:val="00F24A91"/>
    <w:rsid w:val="00F24AE7"/>
    <w:rsid w:val="00F26A35"/>
    <w:rsid w:val="00F27047"/>
    <w:rsid w:val="00F27338"/>
    <w:rsid w:val="00F32C4E"/>
    <w:rsid w:val="00F374F8"/>
    <w:rsid w:val="00F42F48"/>
    <w:rsid w:val="00F458D9"/>
    <w:rsid w:val="00F525AE"/>
    <w:rsid w:val="00F542D9"/>
    <w:rsid w:val="00F6403B"/>
    <w:rsid w:val="00F6624C"/>
    <w:rsid w:val="00F672E9"/>
    <w:rsid w:val="00F9230E"/>
    <w:rsid w:val="00FA309F"/>
    <w:rsid w:val="00FA3369"/>
    <w:rsid w:val="00FA3715"/>
    <w:rsid w:val="00FA5ACE"/>
    <w:rsid w:val="00FB6768"/>
    <w:rsid w:val="00FB7BD4"/>
    <w:rsid w:val="00FC5BEC"/>
    <w:rsid w:val="00FD2776"/>
    <w:rsid w:val="00FD5124"/>
    <w:rsid w:val="00FD5C92"/>
    <w:rsid w:val="00FE39AD"/>
    <w:rsid w:val="00FF0DDD"/>
    <w:rsid w:val="00FF416C"/>
    <w:rsid w:val="00FF5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22C1E"/>
    <w:rPr>
      <w:rFonts w:ascii="Times New Roman" w:hAnsi="Times New Roman"/>
      <w:sz w:val="24"/>
      <w:szCs w:val="24"/>
    </w:rPr>
  </w:style>
  <w:style w:type="paragraph" w:styleId="Heading1">
    <w:name w:val="heading 1"/>
    <w:basedOn w:val="Normal"/>
    <w:link w:val="Heading1Char"/>
    <w:qFormat/>
    <w:rsid w:val="00122C1E"/>
    <w:pPr>
      <w:outlineLvl w:val="0"/>
    </w:pPr>
    <w:rPr>
      <w:b/>
      <w:b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22C1E"/>
    <w:rPr>
      <w:rFonts w:ascii="Times New Roman" w:hAnsi="Times New Roman" w:cs="Times New Roman"/>
      <w:b/>
      <w:bCs/>
      <w:kern w:val="36"/>
    </w:rPr>
  </w:style>
  <w:style w:type="character" w:styleId="Hyperlink">
    <w:name w:val="Hyperlink"/>
    <w:rsid w:val="00122C1E"/>
    <w:rPr>
      <w:rFonts w:cs="Times New Roman"/>
      <w:color w:val="0000FF"/>
      <w:u w:val="single"/>
    </w:rPr>
  </w:style>
  <w:style w:type="paragraph" w:styleId="Footer">
    <w:name w:val="footer"/>
    <w:basedOn w:val="Normal"/>
    <w:link w:val="FooterChar"/>
    <w:uiPriority w:val="99"/>
    <w:rsid w:val="00122C1E"/>
    <w:pPr>
      <w:tabs>
        <w:tab w:val="center" w:pos="4320"/>
        <w:tab w:val="right" w:pos="8640"/>
      </w:tabs>
    </w:pPr>
    <w:rPr>
      <w:sz w:val="20"/>
      <w:szCs w:val="20"/>
    </w:rPr>
  </w:style>
  <w:style w:type="character" w:customStyle="1" w:styleId="FooterChar">
    <w:name w:val="Footer Char"/>
    <w:link w:val="Footer"/>
    <w:uiPriority w:val="99"/>
    <w:locked/>
    <w:rsid w:val="00122C1E"/>
    <w:rPr>
      <w:rFonts w:ascii="Times New Roman" w:hAnsi="Times New Roman" w:cs="Times New Roman"/>
    </w:rPr>
  </w:style>
  <w:style w:type="character" w:styleId="PageNumber">
    <w:name w:val="page number"/>
    <w:rsid w:val="00122C1E"/>
    <w:rPr>
      <w:rFonts w:cs="Times New Roman"/>
    </w:rPr>
  </w:style>
  <w:style w:type="paragraph" w:customStyle="1" w:styleId="08BodyText">
    <w:name w:val="08 BodyText"/>
    <w:link w:val="08BodyTextChar"/>
    <w:rsid w:val="00122C1E"/>
    <w:pPr>
      <w:spacing w:line="480" w:lineRule="auto"/>
      <w:ind w:firstLine="576"/>
    </w:pPr>
    <w:rPr>
      <w:rFonts w:ascii="Times New Roman" w:hAnsi="Times New Roman"/>
      <w:sz w:val="24"/>
    </w:rPr>
  </w:style>
  <w:style w:type="character" w:customStyle="1" w:styleId="08BodyTextChar">
    <w:name w:val="08 BodyText Char"/>
    <w:link w:val="08BodyText"/>
    <w:locked/>
    <w:rsid w:val="00122C1E"/>
    <w:rPr>
      <w:rFonts w:ascii="Times New Roman" w:hAnsi="Times New Roman"/>
      <w:sz w:val="24"/>
      <w:lang w:val="en-US" w:eastAsia="en-US" w:bidi="ar-SA"/>
    </w:rPr>
  </w:style>
  <w:style w:type="character" w:customStyle="1" w:styleId="volume5">
    <w:name w:val="volume5"/>
    <w:rsid w:val="00122C1E"/>
    <w:rPr>
      <w:rFonts w:cs="Times New Roman"/>
      <w:b/>
      <w:bCs/>
    </w:rPr>
  </w:style>
  <w:style w:type="paragraph" w:styleId="BodyTextIndent3">
    <w:name w:val="Body Text Indent 3"/>
    <w:basedOn w:val="Normal"/>
    <w:next w:val="Normal"/>
    <w:link w:val="BodyTextIndent3Char"/>
    <w:rsid w:val="00122C1E"/>
    <w:pPr>
      <w:autoSpaceDE w:val="0"/>
      <w:autoSpaceDN w:val="0"/>
      <w:adjustRightInd w:val="0"/>
    </w:pPr>
    <w:rPr>
      <w:rFonts w:ascii="Verdana" w:hAnsi="Verdana"/>
      <w:sz w:val="20"/>
      <w:szCs w:val="20"/>
    </w:rPr>
  </w:style>
  <w:style w:type="character" w:customStyle="1" w:styleId="BodyTextIndent3Char">
    <w:name w:val="Body Text Indent 3 Char"/>
    <w:link w:val="BodyTextIndent3"/>
    <w:locked/>
    <w:rsid w:val="00122C1E"/>
    <w:rPr>
      <w:rFonts w:ascii="Verdana" w:hAnsi="Verdana" w:cs="Times New Roman"/>
    </w:rPr>
  </w:style>
  <w:style w:type="paragraph" w:styleId="BodyTextIndent">
    <w:name w:val="Body Text Indent"/>
    <w:basedOn w:val="Normal"/>
    <w:link w:val="BodyTextIndentChar"/>
    <w:rsid w:val="00122C1E"/>
    <w:pPr>
      <w:spacing w:after="120"/>
      <w:ind w:left="360"/>
    </w:pPr>
    <w:rPr>
      <w:sz w:val="20"/>
      <w:szCs w:val="20"/>
    </w:rPr>
  </w:style>
  <w:style w:type="character" w:customStyle="1" w:styleId="BodyTextIndentChar">
    <w:name w:val="Body Text Indent Char"/>
    <w:link w:val="BodyTextIndent"/>
    <w:locked/>
    <w:rsid w:val="00122C1E"/>
    <w:rPr>
      <w:rFonts w:ascii="Times New Roman" w:hAnsi="Times New Roman" w:cs="Times New Roman"/>
    </w:rPr>
  </w:style>
  <w:style w:type="character" w:styleId="FollowedHyperlink">
    <w:name w:val="FollowedHyperlink"/>
    <w:rsid w:val="00122C1E"/>
    <w:rPr>
      <w:rFonts w:cs="Times New Roman"/>
      <w:color w:val="800080"/>
      <w:u w:val="single"/>
    </w:rPr>
  </w:style>
  <w:style w:type="paragraph" w:customStyle="1" w:styleId="01ChapterTitle">
    <w:name w:val="01 ChapterTitle"/>
    <w:basedOn w:val="Normal"/>
    <w:rsid w:val="00122C1E"/>
    <w:pPr>
      <w:spacing w:after="240"/>
      <w:jc w:val="center"/>
      <w:outlineLvl w:val="0"/>
    </w:pPr>
    <w:rPr>
      <w:caps/>
    </w:rPr>
  </w:style>
  <w:style w:type="paragraph" w:customStyle="1" w:styleId="02First-LevelSubheadingBOLD">
    <w:name w:val="02 First-Level Subheading BOLD"/>
    <w:basedOn w:val="Normal"/>
    <w:rsid w:val="00122C1E"/>
    <w:pPr>
      <w:keepNext/>
      <w:spacing w:after="240"/>
      <w:jc w:val="center"/>
      <w:outlineLvl w:val="1"/>
    </w:pPr>
    <w:rPr>
      <w:b/>
    </w:rPr>
  </w:style>
  <w:style w:type="paragraph" w:customStyle="1" w:styleId="10TableText">
    <w:name w:val="10 Table Text"/>
    <w:basedOn w:val="Normal"/>
    <w:rsid w:val="00122C1E"/>
  </w:style>
  <w:style w:type="paragraph" w:customStyle="1" w:styleId="16CaptionTable">
    <w:name w:val="16 Caption Table"/>
    <w:basedOn w:val="Normal"/>
    <w:next w:val="08BodyText"/>
    <w:rsid w:val="00122C1E"/>
    <w:pPr>
      <w:keepNext/>
      <w:ind w:left="1080" w:hanging="1080"/>
    </w:pPr>
  </w:style>
  <w:style w:type="character" w:customStyle="1" w:styleId="08BodyTextChar1">
    <w:name w:val="08 BodyText Char1"/>
    <w:rsid w:val="00122C1E"/>
    <w:rPr>
      <w:rFonts w:cs="Times New Roman"/>
      <w:sz w:val="24"/>
      <w:lang w:val="en-US" w:eastAsia="en-US" w:bidi="ar-SA"/>
    </w:rPr>
  </w:style>
  <w:style w:type="paragraph" w:customStyle="1" w:styleId="15CaptionFigure">
    <w:name w:val="15 Caption Figure"/>
    <w:basedOn w:val="Normal"/>
    <w:next w:val="08BodyText"/>
    <w:rsid w:val="00122C1E"/>
    <w:pPr>
      <w:spacing w:after="240"/>
      <w:ind w:left="1080" w:hanging="1080"/>
    </w:pPr>
  </w:style>
  <w:style w:type="table" w:styleId="TableGrid">
    <w:name w:val="Table Grid"/>
    <w:basedOn w:val="TableNormal"/>
    <w:rsid w:val="00122C1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22C1E"/>
    <w:rPr>
      <w:rFonts w:ascii="Tahoma" w:hAnsi="Tahoma"/>
      <w:sz w:val="16"/>
      <w:szCs w:val="16"/>
    </w:rPr>
  </w:style>
  <w:style w:type="character" w:customStyle="1" w:styleId="BalloonTextChar">
    <w:name w:val="Balloon Text Char"/>
    <w:link w:val="BalloonText"/>
    <w:locked/>
    <w:rsid w:val="00122C1E"/>
    <w:rPr>
      <w:rFonts w:ascii="Tahoma" w:hAnsi="Tahoma" w:cs="Tahoma"/>
      <w:sz w:val="16"/>
      <w:szCs w:val="16"/>
    </w:rPr>
  </w:style>
  <w:style w:type="paragraph" w:styleId="Header">
    <w:name w:val="header"/>
    <w:basedOn w:val="Normal"/>
    <w:link w:val="HeaderChar"/>
    <w:uiPriority w:val="99"/>
    <w:rsid w:val="00122C1E"/>
    <w:pPr>
      <w:tabs>
        <w:tab w:val="center" w:pos="4680"/>
        <w:tab w:val="right" w:pos="9360"/>
      </w:tabs>
    </w:pPr>
    <w:rPr>
      <w:sz w:val="20"/>
      <w:szCs w:val="20"/>
    </w:rPr>
  </w:style>
  <w:style w:type="character" w:customStyle="1" w:styleId="HeaderChar">
    <w:name w:val="Header Char"/>
    <w:link w:val="Header"/>
    <w:uiPriority w:val="99"/>
    <w:locked/>
    <w:rsid w:val="00122C1E"/>
    <w:rPr>
      <w:rFonts w:ascii="Times New Roman" w:hAnsi="Times New Roman" w:cs="Times New Roman"/>
    </w:rPr>
  </w:style>
  <w:style w:type="paragraph" w:styleId="Revision">
    <w:name w:val="Revision"/>
    <w:hidden/>
    <w:semiHidden/>
    <w:rsid w:val="00122C1E"/>
    <w:rPr>
      <w:rFonts w:ascii="Times New Roman" w:hAnsi="Times New Roman"/>
      <w:sz w:val="24"/>
      <w:szCs w:val="24"/>
    </w:rPr>
  </w:style>
  <w:style w:type="character" w:styleId="CommentReference">
    <w:name w:val="annotation reference"/>
    <w:rsid w:val="00122C1E"/>
    <w:rPr>
      <w:rFonts w:cs="Times New Roman"/>
      <w:sz w:val="16"/>
      <w:szCs w:val="16"/>
    </w:rPr>
  </w:style>
  <w:style w:type="paragraph" w:styleId="CommentText">
    <w:name w:val="annotation text"/>
    <w:basedOn w:val="Normal"/>
    <w:link w:val="CommentTextChar"/>
    <w:rsid w:val="00122C1E"/>
    <w:rPr>
      <w:sz w:val="20"/>
      <w:szCs w:val="20"/>
    </w:rPr>
  </w:style>
  <w:style w:type="character" w:customStyle="1" w:styleId="CommentTextChar">
    <w:name w:val="Comment Text Char"/>
    <w:link w:val="CommentText"/>
    <w:locked/>
    <w:rsid w:val="00122C1E"/>
    <w:rPr>
      <w:rFonts w:ascii="Times New Roman" w:hAnsi="Times New Roman" w:cs="Times New Roman"/>
      <w:sz w:val="20"/>
      <w:szCs w:val="20"/>
    </w:rPr>
  </w:style>
  <w:style w:type="paragraph" w:styleId="CommentSubject">
    <w:name w:val="annotation subject"/>
    <w:basedOn w:val="CommentText"/>
    <w:next w:val="CommentText"/>
    <w:link w:val="CommentSubjectChar"/>
    <w:rsid w:val="00122C1E"/>
    <w:rPr>
      <w:b/>
      <w:bCs/>
    </w:rPr>
  </w:style>
  <w:style w:type="character" w:customStyle="1" w:styleId="CommentSubjectChar">
    <w:name w:val="Comment Subject Char"/>
    <w:link w:val="CommentSubject"/>
    <w:locked/>
    <w:rsid w:val="00122C1E"/>
    <w:rPr>
      <w:rFonts w:ascii="Times New Roman" w:hAnsi="Times New Roman" w:cs="Times New Roman"/>
      <w:b/>
      <w:bCs/>
      <w:sz w:val="20"/>
      <w:szCs w:val="20"/>
    </w:rPr>
  </w:style>
  <w:style w:type="character" w:styleId="LineNumber">
    <w:name w:val="line number"/>
    <w:rsid w:val="00122C1E"/>
    <w:rPr>
      <w:rFonts w:cs="Times New Roman"/>
    </w:rPr>
  </w:style>
  <w:style w:type="paragraph" w:customStyle="1" w:styleId="Default">
    <w:name w:val="Default"/>
    <w:rsid w:val="00122C1E"/>
    <w:pPr>
      <w:autoSpaceDE w:val="0"/>
      <w:autoSpaceDN w:val="0"/>
      <w:adjustRightInd w:val="0"/>
    </w:pPr>
    <w:rPr>
      <w:rFonts w:ascii="Verdana" w:hAnsi="Verdana" w:cs="Verdana"/>
      <w:color w:val="000000"/>
      <w:sz w:val="24"/>
      <w:szCs w:val="24"/>
    </w:rPr>
  </w:style>
  <w:style w:type="paragraph" w:customStyle="1" w:styleId="04Third-LevelSubheadingBOLD">
    <w:name w:val="04 Third-Level Subheading BOLD"/>
    <w:basedOn w:val="Normal"/>
    <w:next w:val="08BodyText"/>
    <w:rsid w:val="00122C1E"/>
    <w:pPr>
      <w:keepNext/>
      <w:spacing w:after="240"/>
      <w:ind w:left="288" w:hanging="288"/>
      <w:outlineLvl w:val="3"/>
    </w:pPr>
    <w:rPr>
      <w:b/>
    </w:rPr>
  </w:style>
  <w:style w:type="character" w:customStyle="1" w:styleId="05First-LevelSubheadingUNDERLINEChar">
    <w:name w:val="05 First-Level Subheading UNDERLINE Char"/>
    <w:rsid w:val="00494B52"/>
    <w:rPr>
      <w:sz w:val="24"/>
      <w:szCs w:val="24"/>
      <w:u w:val="single"/>
      <w:lang w:val="en-US" w:eastAsia="en-US" w:bidi="ar-SA"/>
    </w:rPr>
  </w:style>
  <w:style w:type="character" w:customStyle="1" w:styleId="03Second-LevelSubheadingBOLDChar">
    <w:name w:val="03 Second-Level Subheading BOLD Char"/>
    <w:rsid w:val="003875C9"/>
    <w:rPr>
      <w:b/>
      <w:sz w:val="24"/>
      <w:szCs w:val="24"/>
      <w:lang w:val="en-US" w:eastAsia="en-US" w:bidi="ar-SA"/>
    </w:rPr>
  </w:style>
  <w:style w:type="character" w:customStyle="1" w:styleId="yshortcuts">
    <w:name w:val="yshortcuts"/>
    <w:basedOn w:val="DefaultParagraphFont"/>
    <w:rsid w:val="002C29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9414</Words>
  <Characters>53660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Running head:  EFFECTS OF MULTISENSORY PHONICS-BASED TRAINING</vt:lpstr>
    </vt:vector>
  </TitlesOfParts>
  <Company>Hewlett-Packard</Company>
  <LinksUpToDate>false</LinksUpToDate>
  <CharactersWithSpaces>62949</CharactersWithSpaces>
  <SharedDoc>false</SharedDoc>
  <HLinks>
    <vt:vector size="12" baseType="variant">
      <vt:variant>
        <vt:i4>4653061</vt:i4>
      </vt:variant>
      <vt:variant>
        <vt:i4>3</vt:i4>
      </vt:variant>
      <vt:variant>
        <vt:i4>0</vt:i4>
      </vt:variant>
      <vt:variant>
        <vt:i4>5</vt:i4>
      </vt:variant>
      <vt:variant>
        <vt:lpwstr>http://www.bartonreading.com/</vt:lpwstr>
      </vt:variant>
      <vt:variant>
        <vt:lpwstr/>
      </vt:variant>
      <vt:variant>
        <vt:i4>2097244</vt:i4>
      </vt:variant>
      <vt:variant>
        <vt:i4>0</vt:i4>
      </vt:variant>
      <vt:variant>
        <vt:i4>0</vt:i4>
      </vt:variant>
      <vt:variant>
        <vt:i4>5</vt:i4>
      </vt:variant>
      <vt:variant>
        <vt:lpwstr>mailto:kenyatta.rivers@ucf.edu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EFFECTS OF MULTISENSORY PHONICS-BASED TRAINING</dc:title>
  <dc:creator>Kenyatta Rivers</dc:creator>
  <cp:lastModifiedBy>Laura Shay</cp:lastModifiedBy>
  <cp:revision>4</cp:revision>
  <cp:lastPrinted>2011-05-16T00:10:00Z</cp:lastPrinted>
  <dcterms:created xsi:type="dcterms:W3CDTF">2011-11-22T17:49:00Z</dcterms:created>
  <dcterms:modified xsi:type="dcterms:W3CDTF">2012-03-01T03:20:00Z</dcterms:modified>
</cp:coreProperties>
</file>