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3" w:rsidRPr="00183207" w:rsidRDefault="00D30043" w:rsidP="00183207">
      <w:pPr>
        <w:jc w:val="both"/>
        <w:rPr>
          <w:sz w:val="20"/>
          <w:szCs w:val="20"/>
          <w:lang w:val="en-US"/>
        </w:rPr>
      </w:pPr>
    </w:p>
    <w:p w:rsidR="00D30043" w:rsidRDefault="00D30043" w:rsidP="00183207">
      <w:pPr>
        <w:jc w:val="both"/>
        <w:rPr>
          <w:sz w:val="20"/>
          <w:szCs w:val="20"/>
          <w:lang w:val="en-US"/>
        </w:rPr>
      </w:pP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P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Pr="00183207" w:rsidRDefault="00183207" w:rsidP="00183207">
      <w:pPr>
        <w:jc w:val="center"/>
        <w:rPr>
          <w:b/>
          <w:bCs/>
          <w:caps/>
          <w:sz w:val="20"/>
          <w:szCs w:val="20"/>
          <w:lang w:val="en-US"/>
        </w:rPr>
      </w:pPr>
      <w:r w:rsidRPr="00183207">
        <w:rPr>
          <w:b/>
          <w:bCs/>
          <w:caps/>
          <w:sz w:val="20"/>
          <w:szCs w:val="20"/>
          <w:lang w:val="en-US"/>
        </w:rPr>
        <w:t>The impact of vision loss on personality traits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183207" w:rsidRPr="00183207" w:rsidRDefault="00D30043" w:rsidP="00183207">
      <w:pPr>
        <w:jc w:val="center"/>
        <w:rPr>
          <w:b/>
          <w:sz w:val="20"/>
          <w:szCs w:val="20"/>
          <w:lang w:val="en-US"/>
        </w:rPr>
      </w:pPr>
      <w:proofErr w:type="spellStart"/>
      <w:r w:rsidRPr="00183207">
        <w:rPr>
          <w:b/>
          <w:sz w:val="20"/>
          <w:szCs w:val="20"/>
          <w:lang w:val="en-US"/>
        </w:rPr>
        <w:t>Konstantinos</w:t>
      </w:r>
      <w:proofErr w:type="spellEnd"/>
      <w:r w:rsidRPr="00183207">
        <w:rPr>
          <w:b/>
          <w:sz w:val="20"/>
          <w:szCs w:val="20"/>
          <w:lang w:val="en-US"/>
        </w:rPr>
        <w:t xml:space="preserve"> S. Papadopoulos</w:t>
      </w:r>
    </w:p>
    <w:p w:rsidR="00183207" w:rsidRPr="00183207" w:rsidRDefault="00D30043" w:rsidP="00183207">
      <w:pPr>
        <w:jc w:val="center"/>
        <w:rPr>
          <w:b/>
          <w:sz w:val="20"/>
          <w:szCs w:val="20"/>
          <w:lang w:val="en-US"/>
        </w:rPr>
      </w:pPr>
      <w:proofErr w:type="spellStart"/>
      <w:r w:rsidRPr="00183207">
        <w:rPr>
          <w:b/>
          <w:sz w:val="20"/>
          <w:szCs w:val="20"/>
          <w:lang w:val="en-US"/>
        </w:rPr>
        <w:t>Eleni</w:t>
      </w:r>
      <w:proofErr w:type="spellEnd"/>
      <w:r w:rsidRPr="00183207">
        <w:rPr>
          <w:b/>
          <w:sz w:val="20"/>
          <w:szCs w:val="20"/>
          <w:lang w:val="en-US"/>
        </w:rPr>
        <w:t xml:space="preserve"> </w:t>
      </w:r>
      <w:proofErr w:type="spellStart"/>
      <w:r w:rsidRPr="00183207">
        <w:rPr>
          <w:b/>
          <w:sz w:val="20"/>
          <w:szCs w:val="20"/>
          <w:lang w:val="en-US"/>
        </w:rPr>
        <w:t>Koustriava</w:t>
      </w:r>
      <w:proofErr w:type="spellEnd"/>
    </w:p>
    <w:p w:rsidR="00183207" w:rsidRPr="00183207" w:rsidRDefault="00D30043" w:rsidP="00183207">
      <w:pPr>
        <w:jc w:val="center"/>
        <w:rPr>
          <w:b/>
          <w:sz w:val="20"/>
          <w:szCs w:val="20"/>
          <w:vertAlign w:val="superscript"/>
          <w:lang w:val="en-US"/>
        </w:rPr>
      </w:pPr>
      <w:r w:rsidRPr="00183207">
        <w:rPr>
          <w:b/>
          <w:sz w:val="20"/>
          <w:szCs w:val="20"/>
          <w:lang w:val="en-US"/>
        </w:rPr>
        <w:t xml:space="preserve">Maria </w:t>
      </w:r>
      <w:proofErr w:type="spellStart"/>
      <w:r w:rsidRPr="00183207">
        <w:rPr>
          <w:b/>
          <w:sz w:val="20"/>
          <w:szCs w:val="20"/>
          <w:lang w:val="en-US"/>
        </w:rPr>
        <w:t>Charalampidou</w:t>
      </w:r>
      <w:proofErr w:type="spellEnd"/>
    </w:p>
    <w:p w:rsidR="00D30043" w:rsidRDefault="00D30043" w:rsidP="00183207">
      <w:pPr>
        <w:jc w:val="center"/>
        <w:rPr>
          <w:b/>
          <w:sz w:val="20"/>
          <w:szCs w:val="20"/>
          <w:vertAlign w:val="superscript"/>
          <w:lang w:val="en-US"/>
        </w:rPr>
      </w:pPr>
      <w:proofErr w:type="spellStart"/>
      <w:r w:rsidRPr="00183207">
        <w:rPr>
          <w:b/>
          <w:sz w:val="20"/>
          <w:szCs w:val="20"/>
          <w:lang w:val="en-US"/>
        </w:rPr>
        <w:t>Ioanna</w:t>
      </w:r>
      <w:proofErr w:type="spellEnd"/>
      <w:r w:rsidRPr="00183207">
        <w:rPr>
          <w:b/>
          <w:sz w:val="20"/>
          <w:szCs w:val="20"/>
          <w:lang w:val="en-US"/>
        </w:rPr>
        <w:t xml:space="preserve"> </w:t>
      </w:r>
      <w:proofErr w:type="spellStart"/>
      <w:r w:rsidRPr="00183207">
        <w:rPr>
          <w:b/>
          <w:sz w:val="20"/>
          <w:szCs w:val="20"/>
          <w:lang w:val="en-US"/>
        </w:rPr>
        <w:t>Gerapostolou</w:t>
      </w:r>
      <w:proofErr w:type="spellEnd"/>
    </w:p>
    <w:p w:rsidR="00183207" w:rsidRPr="00183207" w:rsidRDefault="00183207" w:rsidP="00183207">
      <w:pPr>
        <w:jc w:val="center"/>
        <w:rPr>
          <w:b/>
          <w:i/>
          <w:sz w:val="20"/>
          <w:szCs w:val="20"/>
          <w:lang w:val="en-US"/>
        </w:rPr>
      </w:pPr>
      <w:r w:rsidRPr="00183207">
        <w:rPr>
          <w:i/>
          <w:sz w:val="20"/>
          <w:szCs w:val="20"/>
          <w:lang w:val="en-US"/>
        </w:rPr>
        <w:t>University of Macedonia</w:t>
      </w:r>
    </w:p>
    <w:p w:rsidR="00D30043" w:rsidRPr="00183207" w:rsidRDefault="00D30043" w:rsidP="00183207">
      <w:pPr>
        <w:jc w:val="both"/>
        <w:rPr>
          <w:sz w:val="20"/>
          <w:szCs w:val="20"/>
          <w:lang w:val="en-US"/>
        </w:rPr>
      </w:pPr>
    </w:p>
    <w:p w:rsidR="00734E2C" w:rsidRPr="00183207" w:rsidRDefault="00734E2C" w:rsidP="00183207">
      <w:pPr>
        <w:tabs>
          <w:tab w:val="left" w:pos="4830"/>
        </w:tabs>
        <w:jc w:val="both"/>
        <w:rPr>
          <w:sz w:val="20"/>
          <w:szCs w:val="20"/>
          <w:lang w:val="en-US"/>
        </w:rPr>
      </w:pPr>
    </w:p>
    <w:p w:rsidR="009E1189" w:rsidRPr="00183207" w:rsidRDefault="009A4CE9" w:rsidP="00183207">
      <w:pPr>
        <w:ind w:left="720" w:right="720"/>
        <w:jc w:val="both"/>
        <w:rPr>
          <w:i/>
          <w:sz w:val="20"/>
          <w:szCs w:val="20"/>
          <w:lang w:val="en-GB"/>
        </w:rPr>
      </w:pPr>
      <w:r w:rsidRPr="00183207">
        <w:rPr>
          <w:i/>
          <w:sz w:val="20"/>
          <w:szCs w:val="20"/>
          <w:lang w:val="en-US"/>
        </w:rPr>
        <w:t xml:space="preserve">The aim of this study is to explore the </w:t>
      </w:r>
      <w:r w:rsidR="00F51780" w:rsidRPr="00183207">
        <w:rPr>
          <w:i/>
          <w:sz w:val="20"/>
          <w:szCs w:val="20"/>
          <w:lang w:val="en-US"/>
        </w:rPr>
        <w:t xml:space="preserve">differences in personality traits amongst adults with </w:t>
      </w:r>
      <w:r w:rsidR="006C6C0E" w:rsidRPr="00183207">
        <w:rPr>
          <w:i/>
          <w:sz w:val="20"/>
          <w:szCs w:val="20"/>
          <w:lang w:val="en-US"/>
        </w:rPr>
        <w:t>blindness, adults with low vision</w:t>
      </w:r>
      <w:r w:rsidR="00216165" w:rsidRPr="00183207">
        <w:rPr>
          <w:i/>
          <w:sz w:val="20"/>
          <w:szCs w:val="20"/>
          <w:lang w:val="en-US"/>
        </w:rPr>
        <w:t xml:space="preserve"> </w:t>
      </w:r>
      <w:r w:rsidR="00F51780" w:rsidRPr="00183207">
        <w:rPr>
          <w:i/>
          <w:sz w:val="20"/>
          <w:szCs w:val="20"/>
          <w:lang w:val="en-US"/>
        </w:rPr>
        <w:t>and sighted adults</w:t>
      </w:r>
      <w:r w:rsidR="00216165" w:rsidRPr="00183207">
        <w:rPr>
          <w:i/>
          <w:sz w:val="20"/>
          <w:szCs w:val="20"/>
          <w:lang w:val="en-US"/>
        </w:rPr>
        <w:t xml:space="preserve">. </w:t>
      </w:r>
      <w:r w:rsidR="0075496F" w:rsidRPr="00183207">
        <w:rPr>
          <w:i/>
          <w:sz w:val="20"/>
          <w:szCs w:val="20"/>
          <w:lang w:val="en-US"/>
        </w:rPr>
        <w:t xml:space="preserve"> </w:t>
      </w:r>
      <w:r w:rsidR="00216165" w:rsidRPr="00183207">
        <w:rPr>
          <w:i/>
          <w:sz w:val="20"/>
          <w:szCs w:val="20"/>
          <w:lang w:val="en-US"/>
        </w:rPr>
        <w:t>Moreover</w:t>
      </w:r>
      <w:r w:rsidRPr="00183207">
        <w:rPr>
          <w:i/>
          <w:sz w:val="20"/>
          <w:szCs w:val="20"/>
          <w:lang w:val="en-US"/>
        </w:rPr>
        <w:t>, the relation</w:t>
      </w:r>
      <w:r w:rsidR="00D976F4" w:rsidRPr="00183207">
        <w:rPr>
          <w:i/>
          <w:sz w:val="20"/>
          <w:szCs w:val="20"/>
          <w:lang w:val="en-US"/>
        </w:rPr>
        <w:t>ship</w:t>
      </w:r>
      <w:r w:rsidRPr="00183207">
        <w:rPr>
          <w:i/>
          <w:sz w:val="20"/>
          <w:szCs w:val="20"/>
          <w:lang w:val="en-US"/>
        </w:rPr>
        <w:t xml:space="preserve"> between the four scale</w:t>
      </w:r>
      <w:r w:rsidR="00E70DC7" w:rsidRPr="00183207">
        <w:rPr>
          <w:i/>
          <w:sz w:val="20"/>
          <w:szCs w:val="20"/>
          <w:lang w:val="en-US"/>
        </w:rPr>
        <w:t>s</w:t>
      </w:r>
      <w:r w:rsidRPr="00183207">
        <w:rPr>
          <w:i/>
          <w:sz w:val="20"/>
          <w:szCs w:val="20"/>
          <w:lang w:val="en-US"/>
        </w:rPr>
        <w:t xml:space="preserve"> of </w:t>
      </w:r>
      <w:proofErr w:type="spellStart"/>
      <w:r w:rsidRPr="00183207">
        <w:rPr>
          <w:i/>
          <w:sz w:val="20"/>
          <w:szCs w:val="20"/>
          <w:lang w:val="en-US"/>
        </w:rPr>
        <w:t>Eysenck’s</w:t>
      </w:r>
      <w:proofErr w:type="spellEnd"/>
      <w:r w:rsidRPr="00183207">
        <w:rPr>
          <w:i/>
          <w:sz w:val="20"/>
          <w:szCs w:val="20"/>
          <w:lang w:val="en-US"/>
        </w:rPr>
        <w:t xml:space="preserve"> personality questionnaire </w:t>
      </w:r>
      <w:r w:rsidR="006C6C0E" w:rsidRPr="00183207">
        <w:rPr>
          <w:i/>
          <w:sz w:val="20"/>
          <w:szCs w:val="20"/>
          <w:lang w:val="en-US"/>
        </w:rPr>
        <w:t>and the demographic</w:t>
      </w:r>
      <w:r w:rsidRPr="00183207">
        <w:rPr>
          <w:i/>
          <w:sz w:val="20"/>
          <w:szCs w:val="20"/>
          <w:lang w:val="en-US"/>
        </w:rPr>
        <w:t xml:space="preserve"> characteristics of participants </w:t>
      </w:r>
      <w:r w:rsidR="00091EB2" w:rsidRPr="00183207">
        <w:rPr>
          <w:i/>
          <w:sz w:val="20"/>
          <w:szCs w:val="20"/>
          <w:lang w:val="en-US"/>
        </w:rPr>
        <w:t xml:space="preserve">with visual impairments </w:t>
      </w:r>
      <w:r w:rsidR="00216165" w:rsidRPr="00183207">
        <w:rPr>
          <w:i/>
          <w:sz w:val="20"/>
          <w:szCs w:val="20"/>
          <w:lang w:val="en-US"/>
        </w:rPr>
        <w:t>was examined</w:t>
      </w:r>
      <w:r w:rsidRPr="00183207">
        <w:rPr>
          <w:i/>
          <w:sz w:val="20"/>
          <w:szCs w:val="20"/>
          <w:lang w:val="en-US"/>
        </w:rPr>
        <w:t>.</w:t>
      </w:r>
      <w:r w:rsidR="00216165" w:rsidRPr="00183207">
        <w:rPr>
          <w:i/>
          <w:sz w:val="20"/>
          <w:szCs w:val="20"/>
          <w:lang w:val="en-US"/>
        </w:rPr>
        <w:t xml:space="preserve"> </w:t>
      </w:r>
      <w:r w:rsidR="0075496F" w:rsidRPr="00183207">
        <w:rPr>
          <w:i/>
          <w:sz w:val="20"/>
          <w:szCs w:val="20"/>
          <w:lang w:val="en-US"/>
        </w:rPr>
        <w:t xml:space="preserve"> </w:t>
      </w:r>
      <w:r w:rsidR="00694AC1" w:rsidRPr="00183207">
        <w:rPr>
          <w:i/>
          <w:sz w:val="20"/>
          <w:szCs w:val="20"/>
        </w:rPr>
        <w:t>Τ</w:t>
      </w:r>
      <w:r w:rsidR="00694AC1" w:rsidRPr="00183207">
        <w:rPr>
          <w:i/>
          <w:sz w:val="20"/>
          <w:szCs w:val="20"/>
          <w:lang w:val="en-GB"/>
        </w:rPr>
        <w:t xml:space="preserve">here </w:t>
      </w:r>
      <w:r w:rsidR="00842C79" w:rsidRPr="00183207">
        <w:rPr>
          <w:i/>
          <w:sz w:val="20"/>
          <w:szCs w:val="20"/>
          <w:lang w:val="en-US"/>
        </w:rPr>
        <w:t>are</w:t>
      </w:r>
      <w:r w:rsidR="00694AC1" w:rsidRPr="00183207">
        <w:rPr>
          <w:i/>
          <w:sz w:val="20"/>
          <w:szCs w:val="20"/>
          <w:lang w:val="en-GB"/>
        </w:rPr>
        <w:t xml:space="preserve"> no statistically significant differences amongst the three groups in scales P, N and E. </w:t>
      </w:r>
      <w:r w:rsidR="0075496F" w:rsidRPr="00183207">
        <w:rPr>
          <w:i/>
          <w:sz w:val="20"/>
          <w:szCs w:val="20"/>
          <w:lang w:val="en-GB"/>
        </w:rPr>
        <w:t xml:space="preserve"> </w:t>
      </w:r>
      <w:r w:rsidR="00842C79" w:rsidRPr="00183207">
        <w:rPr>
          <w:i/>
          <w:sz w:val="20"/>
          <w:szCs w:val="20"/>
          <w:lang w:val="en-GB"/>
        </w:rPr>
        <w:t xml:space="preserve">However, the sighted adults have a lower score on the L scale. </w:t>
      </w:r>
      <w:r w:rsidR="0075496F" w:rsidRPr="00183207">
        <w:rPr>
          <w:i/>
          <w:sz w:val="20"/>
          <w:szCs w:val="20"/>
          <w:lang w:val="en-GB"/>
        </w:rPr>
        <w:t xml:space="preserve"> </w:t>
      </w:r>
      <w:r w:rsidR="001629BF" w:rsidRPr="00183207">
        <w:rPr>
          <w:i/>
          <w:sz w:val="20"/>
          <w:szCs w:val="20"/>
        </w:rPr>
        <w:t>Τ</w:t>
      </w:r>
      <w:r w:rsidR="001629BF" w:rsidRPr="00183207">
        <w:rPr>
          <w:i/>
          <w:sz w:val="20"/>
          <w:szCs w:val="20"/>
          <w:lang w:val="en-GB"/>
        </w:rPr>
        <w:t>he older individuals with visual impairment reveal less extraversion and greater neuroticism.</w:t>
      </w:r>
      <w:r w:rsidR="006C6C0E" w:rsidRPr="00183207">
        <w:rPr>
          <w:i/>
          <w:sz w:val="20"/>
          <w:szCs w:val="20"/>
          <w:lang w:val="en-US"/>
        </w:rPr>
        <w:t xml:space="preserve"> </w:t>
      </w:r>
      <w:r w:rsidR="0075496F" w:rsidRPr="00183207">
        <w:rPr>
          <w:i/>
          <w:sz w:val="20"/>
          <w:szCs w:val="20"/>
          <w:lang w:val="en-US"/>
        </w:rPr>
        <w:t xml:space="preserve"> </w:t>
      </w:r>
      <w:r w:rsidR="006C6C0E" w:rsidRPr="00183207">
        <w:rPr>
          <w:i/>
          <w:sz w:val="20"/>
          <w:szCs w:val="20"/>
          <w:lang w:val="en-US"/>
        </w:rPr>
        <w:t xml:space="preserve">Moreover, </w:t>
      </w:r>
      <w:r w:rsidR="006C6C0E" w:rsidRPr="00183207">
        <w:rPr>
          <w:i/>
          <w:sz w:val="20"/>
          <w:szCs w:val="20"/>
          <w:lang w:val="en-GB"/>
        </w:rPr>
        <w:t>the women with visual impairment</w:t>
      </w:r>
      <w:r w:rsidR="00FE1CA2" w:rsidRPr="00183207">
        <w:rPr>
          <w:i/>
          <w:sz w:val="20"/>
          <w:szCs w:val="20"/>
          <w:lang w:val="en-GB"/>
        </w:rPr>
        <w:t>s</w:t>
      </w:r>
      <w:r w:rsidR="006C6C0E" w:rsidRPr="00183207">
        <w:rPr>
          <w:i/>
          <w:sz w:val="20"/>
          <w:szCs w:val="20"/>
          <w:lang w:val="en-GB"/>
        </w:rPr>
        <w:t xml:space="preserve"> show greater neuroticism than the men</w:t>
      </w:r>
      <w:r w:rsidR="00D66496" w:rsidRPr="00183207">
        <w:rPr>
          <w:i/>
          <w:sz w:val="20"/>
          <w:szCs w:val="20"/>
          <w:lang w:val="en-GB"/>
        </w:rPr>
        <w:t xml:space="preserve"> with visual impairment</w:t>
      </w:r>
      <w:r w:rsidR="00FE1CA2" w:rsidRPr="00183207">
        <w:rPr>
          <w:i/>
          <w:sz w:val="20"/>
          <w:szCs w:val="20"/>
          <w:lang w:val="en-GB"/>
        </w:rPr>
        <w:t>s</w:t>
      </w:r>
      <w:r w:rsidR="006C6C0E" w:rsidRPr="00183207">
        <w:rPr>
          <w:i/>
          <w:sz w:val="20"/>
          <w:szCs w:val="20"/>
          <w:lang w:val="en-GB"/>
        </w:rPr>
        <w:t>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183207" w:rsidRDefault="00183207" w:rsidP="0018320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A50E55" w:rsidRPr="00183207" w:rsidRDefault="00A535FA" w:rsidP="00183207">
      <w:pPr>
        <w:autoSpaceDE w:val="0"/>
        <w:autoSpaceDN w:val="0"/>
        <w:adjustRightInd w:val="0"/>
        <w:jc w:val="both"/>
        <w:rPr>
          <w:color w:val="FF0000"/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One</w:t>
      </w:r>
      <w:r w:rsidR="00102E61" w:rsidRPr="00183207">
        <w:rPr>
          <w:sz w:val="20"/>
          <w:szCs w:val="20"/>
          <w:lang w:val="en-US"/>
        </w:rPr>
        <w:t xml:space="preserve"> of the most influential models in the field of personality is founded on </w:t>
      </w:r>
      <w:r w:rsidRPr="00183207">
        <w:rPr>
          <w:sz w:val="20"/>
          <w:szCs w:val="20"/>
          <w:lang w:val="en-US"/>
        </w:rPr>
        <w:t xml:space="preserve">three factors, namely </w:t>
      </w:r>
      <w:r w:rsidR="00102E61" w:rsidRPr="00183207">
        <w:rPr>
          <w:sz w:val="20"/>
          <w:szCs w:val="20"/>
          <w:lang w:val="en-US"/>
        </w:rPr>
        <w:t>Psychoticism (P), Extrav</w:t>
      </w:r>
      <w:r w:rsidR="00342169" w:rsidRPr="00183207">
        <w:rPr>
          <w:sz w:val="20"/>
          <w:szCs w:val="20"/>
          <w:lang w:val="en-US"/>
        </w:rPr>
        <w:t xml:space="preserve">ersion (E), and Neuroticism (N) </w:t>
      </w:r>
      <w:r w:rsidR="00FE4021" w:rsidRPr="00183207">
        <w:rPr>
          <w:sz w:val="20"/>
          <w:szCs w:val="20"/>
          <w:lang w:val="en-US"/>
        </w:rPr>
        <w:t>(</w:t>
      </w:r>
      <w:proofErr w:type="spellStart"/>
      <w:r w:rsidR="00D74426" w:rsidRPr="00183207">
        <w:rPr>
          <w:sz w:val="20"/>
          <w:szCs w:val="20"/>
          <w:lang w:val="en-US"/>
        </w:rPr>
        <w:t>Eysenck</w:t>
      </w:r>
      <w:proofErr w:type="spellEnd"/>
      <w:r w:rsidR="00D74426" w:rsidRPr="00183207">
        <w:rPr>
          <w:sz w:val="20"/>
          <w:szCs w:val="20"/>
          <w:lang w:val="en-US"/>
        </w:rPr>
        <w:t xml:space="preserve"> &amp; </w:t>
      </w:r>
      <w:proofErr w:type="spellStart"/>
      <w:r w:rsidR="00D74426" w:rsidRPr="00183207">
        <w:rPr>
          <w:sz w:val="20"/>
          <w:szCs w:val="20"/>
          <w:lang w:val="en-US"/>
        </w:rPr>
        <w:t>Eysenck</w:t>
      </w:r>
      <w:proofErr w:type="spellEnd"/>
      <w:r w:rsidR="00D74426" w:rsidRPr="00183207">
        <w:rPr>
          <w:sz w:val="20"/>
          <w:szCs w:val="20"/>
          <w:lang w:val="en-US"/>
        </w:rPr>
        <w:t>, 1975</w:t>
      </w:r>
      <w:r w:rsidR="00FE4021" w:rsidRPr="00183207">
        <w:rPr>
          <w:sz w:val="20"/>
          <w:szCs w:val="20"/>
          <w:lang w:val="en-US"/>
        </w:rPr>
        <w:t>, 1985)</w:t>
      </w:r>
      <w:r w:rsidR="0075496F" w:rsidRPr="00183207">
        <w:rPr>
          <w:sz w:val="20"/>
          <w:szCs w:val="20"/>
          <w:lang w:val="en-US"/>
        </w:rPr>
        <w:t xml:space="preserve">.  </w:t>
      </w:r>
      <w:r w:rsidR="00A50E55" w:rsidRPr="00183207">
        <w:rPr>
          <w:sz w:val="20"/>
          <w:szCs w:val="20"/>
          <w:lang w:val="en-US"/>
        </w:rPr>
        <w:t xml:space="preserve">The </w:t>
      </w:r>
      <w:proofErr w:type="spellStart"/>
      <w:r w:rsidR="00A50E55" w:rsidRPr="00183207">
        <w:rPr>
          <w:sz w:val="20"/>
          <w:szCs w:val="20"/>
          <w:lang w:val="en-US"/>
        </w:rPr>
        <w:t>Eysenck</w:t>
      </w:r>
      <w:proofErr w:type="spellEnd"/>
      <w:r w:rsidR="00A50E55" w:rsidRPr="00183207">
        <w:rPr>
          <w:sz w:val="20"/>
          <w:szCs w:val="20"/>
          <w:lang w:val="en-US"/>
        </w:rPr>
        <w:t xml:space="preserve"> Pe</w:t>
      </w:r>
      <w:r w:rsidR="007D04BF" w:rsidRPr="00183207">
        <w:rPr>
          <w:sz w:val="20"/>
          <w:szCs w:val="20"/>
          <w:lang w:val="en-US"/>
        </w:rPr>
        <w:t>rsonality Questionnaire</w:t>
      </w:r>
      <w:r w:rsidR="00A50E55" w:rsidRPr="00183207">
        <w:rPr>
          <w:sz w:val="20"/>
          <w:szCs w:val="20"/>
          <w:lang w:val="en-US"/>
        </w:rPr>
        <w:t xml:space="preserve"> </w:t>
      </w:r>
      <w:r w:rsidR="007D04BF" w:rsidRPr="00183207">
        <w:rPr>
          <w:sz w:val="20"/>
          <w:szCs w:val="20"/>
          <w:lang w:val="en-US"/>
        </w:rPr>
        <w:t>(EPQ)</w:t>
      </w:r>
      <w:r w:rsidR="00A50E55" w:rsidRPr="00183207">
        <w:rPr>
          <w:sz w:val="20"/>
          <w:szCs w:val="20"/>
          <w:lang w:val="en-US"/>
        </w:rPr>
        <w:t xml:space="preserve"> contained questions in each of the 4 scales which measure introversion/extraversion (E), neuroticism (N), psychoticism (P) and lie (L).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</w:p>
    <w:p w:rsidR="00966889" w:rsidRPr="00183207" w:rsidRDefault="00966889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  <w:r w:rsidRPr="00183207">
        <w:rPr>
          <w:sz w:val="20"/>
          <w:szCs w:val="20"/>
          <w:lang w:val="en-US" w:eastAsia="en-US"/>
        </w:rPr>
        <w:t xml:space="preserve">According to the </w:t>
      </w:r>
      <w:proofErr w:type="spell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 xml:space="preserve"> Personality Profiler (</w:t>
      </w:r>
      <w:proofErr w:type="spell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>, Barrett, Wilson &amp; Jackson, 1992), the seven personality traits comprising extraversion were defined as activity, sociability, expressiveness, assertiveness, achievement orientation, dogmatism, and aggressiveness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Pr="00183207">
        <w:rPr>
          <w:sz w:val="20"/>
          <w:szCs w:val="20"/>
          <w:lang w:val="en-US" w:eastAsia="en-US"/>
        </w:rPr>
        <w:t>The seven personality traits comprising neuroticism were defined as low self-esteem, unhappiness, anxiety, dependency, hypochondriasis, guilt, and obsessiveness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Pr="00183207">
        <w:rPr>
          <w:sz w:val="20"/>
          <w:szCs w:val="20"/>
          <w:lang w:val="en-US" w:eastAsia="en-US"/>
        </w:rPr>
        <w:t xml:space="preserve">The seven personality traits comprising psychoticism were defined as risk-taking, impulsiveness, irresponsibility, manipulation, sensation-seeking, masculinity, and </w:t>
      </w:r>
      <w:proofErr w:type="spellStart"/>
      <w:r w:rsidRPr="00183207">
        <w:rPr>
          <w:sz w:val="20"/>
          <w:szCs w:val="20"/>
          <w:lang w:val="en-US" w:eastAsia="en-US"/>
        </w:rPr>
        <w:t>unreflectiveness</w:t>
      </w:r>
      <w:proofErr w:type="spellEnd"/>
      <w:r w:rsidRPr="00183207">
        <w:rPr>
          <w:sz w:val="20"/>
          <w:szCs w:val="20"/>
          <w:lang w:val="en-US" w:eastAsia="en-US"/>
        </w:rPr>
        <w:t xml:space="preserve"> (Francis &amp; Jackson, 2004)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="00496E1F" w:rsidRPr="00183207">
        <w:rPr>
          <w:sz w:val="20"/>
          <w:szCs w:val="20"/>
          <w:lang w:val="en-US" w:eastAsia="en-US"/>
        </w:rPr>
        <w:t xml:space="preserve">Genetic factors </w:t>
      </w:r>
      <w:r w:rsidR="009748B1" w:rsidRPr="00183207">
        <w:rPr>
          <w:sz w:val="20"/>
          <w:szCs w:val="20"/>
          <w:lang w:val="en-US" w:eastAsia="en-US"/>
        </w:rPr>
        <w:t>may</w:t>
      </w:r>
      <w:r w:rsidR="00A808C7" w:rsidRPr="00183207">
        <w:rPr>
          <w:sz w:val="20"/>
          <w:szCs w:val="20"/>
          <w:lang w:val="en-US" w:eastAsia="en-US"/>
        </w:rPr>
        <w:t xml:space="preserve"> </w:t>
      </w:r>
      <w:r w:rsidR="00496E1F" w:rsidRPr="00183207">
        <w:rPr>
          <w:sz w:val="20"/>
          <w:szCs w:val="20"/>
          <w:lang w:val="en-US" w:eastAsia="en-US"/>
        </w:rPr>
        <w:t>contribute to the variance of these three personality traits in proportion of about 50%</w:t>
      </w:r>
      <w:r w:rsidR="009748B1" w:rsidRPr="00183207">
        <w:rPr>
          <w:sz w:val="20"/>
          <w:szCs w:val="20"/>
          <w:lang w:val="en-US" w:eastAsia="en-US"/>
        </w:rPr>
        <w:t xml:space="preserve"> or more</w:t>
      </w:r>
      <w:r w:rsidR="00496E1F" w:rsidRPr="00183207">
        <w:rPr>
          <w:sz w:val="20"/>
          <w:szCs w:val="20"/>
          <w:lang w:val="en-US" w:eastAsia="en-US"/>
        </w:rPr>
        <w:t>, while within-family environmental f</w:t>
      </w:r>
      <w:r w:rsidR="00E241EA" w:rsidRPr="00183207">
        <w:rPr>
          <w:sz w:val="20"/>
          <w:szCs w:val="20"/>
          <w:lang w:val="en-US" w:eastAsia="en-US"/>
        </w:rPr>
        <w:t xml:space="preserve">actors </w:t>
      </w:r>
      <w:r w:rsidR="009748B1" w:rsidRPr="00183207">
        <w:rPr>
          <w:sz w:val="20"/>
          <w:szCs w:val="20"/>
          <w:lang w:val="en-US" w:eastAsia="en-US"/>
        </w:rPr>
        <w:t>seem to be influential as well</w:t>
      </w:r>
      <w:r w:rsidR="00496E1F" w:rsidRPr="00183207">
        <w:rPr>
          <w:sz w:val="20"/>
          <w:szCs w:val="20"/>
          <w:lang w:val="en-US" w:eastAsia="en-US"/>
        </w:rPr>
        <w:t xml:space="preserve"> (</w:t>
      </w:r>
      <w:proofErr w:type="spellStart"/>
      <w:r w:rsidR="00496E1F" w:rsidRPr="00183207">
        <w:rPr>
          <w:sz w:val="20"/>
          <w:szCs w:val="20"/>
          <w:lang w:val="en-US" w:eastAsia="en-US"/>
        </w:rPr>
        <w:t>Eysenck</w:t>
      </w:r>
      <w:proofErr w:type="spellEnd"/>
      <w:r w:rsidR="00496E1F" w:rsidRPr="00183207">
        <w:rPr>
          <w:sz w:val="20"/>
          <w:szCs w:val="20"/>
          <w:lang w:val="en-US" w:eastAsia="en-US"/>
        </w:rPr>
        <w:t>, 1990)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="00496E1F" w:rsidRPr="00183207">
        <w:rPr>
          <w:sz w:val="20"/>
          <w:szCs w:val="20"/>
          <w:lang w:val="en-US" w:eastAsia="en-US"/>
        </w:rPr>
        <w:t xml:space="preserve">Moreover, many other researchers have </w:t>
      </w:r>
      <w:r w:rsidR="006547D7" w:rsidRPr="00183207">
        <w:rPr>
          <w:sz w:val="20"/>
          <w:szCs w:val="20"/>
          <w:lang w:val="en-US" w:eastAsia="en-US"/>
        </w:rPr>
        <w:t>argue for</w:t>
      </w:r>
      <w:r w:rsidR="00496E1F" w:rsidRPr="00183207">
        <w:rPr>
          <w:sz w:val="20"/>
          <w:szCs w:val="20"/>
          <w:lang w:val="en-US" w:eastAsia="en-US"/>
        </w:rPr>
        <w:t xml:space="preserve"> the genetic base of the E (Eaves &amp; </w:t>
      </w:r>
      <w:proofErr w:type="spellStart"/>
      <w:r w:rsidR="00496E1F" w:rsidRPr="00183207">
        <w:rPr>
          <w:sz w:val="20"/>
          <w:szCs w:val="20"/>
          <w:lang w:val="en-US" w:eastAsia="en-US"/>
        </w:rPr>
        <w:t>Eysenck</w:t>
      </w:r>
      <w:proofErr w:type="spellEnd"/>
      <w:r w:rsidR="00496E1F" w:rsidRPr="00183207">
        <w:rPr>
          <w:sz w:val="20"/>
          <w:szCs w:val="20"/>
          <w:lang w:val="en-US" w:eastAsia="en-US"/>
        </w:rPr>
        <w:t>, 19</w:t>
      </w:r>
      <w:r w:rsidR="00406C3B" w:rsidRPr="00183207">
        <w:rPr>
          <w:sz w:val="20"/>
          <w:szCs w:val="20"/>
          <w:lang w:val="en-US" w:eastAsia="en-US"/>
        </w:rPr>
        <w:t>75), P, N (</w:t>
      </w:r>
      <w:proofErr w:type="spellStart"/>
      <w:r w:rsidR="00406C3B" w:rsidRPr="00183207">
        <w:rPr>
          <w:sz w:val="20"/>
          <w:szCs w:val="20"/>
          <w:lang w:val="en-US" w:eastAsia="en-US"/>
        </w:rPr>
        <w:t>Birley</w:t>
      </w:r>
      <w:proofErr w:type="spellEnd"/>
      <w:r w:rsidR="00406C3B" w:rsidRPr="00183207">
        <w:rPr>
          <w:sz w:val="20"/>
          <w:szCs w:val="20"/>
          <w:lang w:val="en-US" w:eastAsia="en-US"/>
        </w:rPr>
        <w:t xml:space="preserve"> et al., </w:t>
      </w:r>
      <w:r w:rsidR="00496E1F" w:rsidRPr="00183207">
        <w:rPr>
          <w:sz w:val="20"/>
          <w:szCs w:val="20"/>
          <w:lang w:val="en-US" w:eastAsia="en-US"/>
        </w:rPr>
        <w:t xml:space="preserve">2006) </w:t>
      </w:r>
      <w:r w:rsidR="00A50E55" w:rsidRPr="00183207">
        <w:rPr>
          <w:sz w:val="20"/>
          <w:szCs w:val="20"/>
          <w:lang w:val="en-US" w:eastAsia="en-US"/>
        </w:rPr>
        <w:t xml:space="preserve">scales of EPQ </w:t>
      </w:r>
      <w:r w:rsidR="00496E1F" w:rsidRPr="00183207">
        <w:rPr>
          <w:sz w:val="20"/>
          <w:szCs w:val="20"/>
          <w:lang w:val="en-US" w:eastAsia="en-US"/>
        </w:rPr>
        <w:t xml:space="preserve">and </w:t>
      </w:r>
      <w:r w:rsidR="00FB080D" w:rsidRPr="00183207">
        <w:rPr>
          <w:sz w:val="20"/>
          <w:szCs w:val="20"/>
          <w:lang w:val="en-US" w:eastAsia="en-US"/>
        </w:rPr>
        <w:t xml:space="preserve">the influence of shared environmental factors in </w:t>
      </w:r>
      <w:r w:rsidR="00A50E55" w:rsidRPr="00183207">
        <w:rPr>
          <w:sz w:val="20"/>
          <w:szCs w:val="20"/>
          <w:lang w:val="en-US" w:eastAsia="en-US"/>
        </w:rPr>
        <w:t>L (Lie) scale</w:t>
      </w:r>
      <w:r w:rsidR="00496E1F" w:rsidRPr="00183207">
        <w:rPr>
          <w:sz w:val="20"/>
          <w:szCs w:val="20"/>
          <w:lang w:val="en-US" w:eastAsia="en-US"/>
        </w:rPr>
        <w:t xml:space="preserve"> of EPQ</w:t>
      </w:r>
      <w:r w:rsidR="007D04BF" w:rsidRPr="00183207">
        <w:rPr>
          <w:sz w:val="20"/>
          <w:szCs w:val="20"/>
          <w:lang w:val="en-US" w:eastAsia="en-US"/>
        </w:rPr>
        <w:t>,</w:t>
      </w:r>
      <w:r w:rsidR="00496E1F" w:rsidRPr="00183207">
        <w:rPr>
          <w:sz w:val="20"/>
          <w:szCs w:val="20"/>
          <w:lang w:val="en-US" w:eastAsia="en-US"/>
        </w:rPr>
        <w:t xml:space="preserve"> through twin studies (Heath, Eaves, &amp; Martin, 1989; Heath, </w:t>
      </w:r>
      <w:proofErr w:type="spellStart"/>
      <w:r w:rsidR="00496E1F" w:rsidRPr="00183207">
        <w:rPr>
          <w:sz w:val="20"/>
          <w:szCs w:val="20"/>
          <w:lang w:val="en-US" w:eastAsia="en-US"/>
        </w:rPr>
        <w:t>Jardine</w:t>
      </w:r>
      <w:proofErr w:type="spellEnd"/>
      <w:r w:rsidR="00496E1F" w:rsidRPr="00183207">
        <w:rPr>
          <w:sz w:val="20"/>
          <w:szCs w:val="20"/>
          <w:lang w:val="en-US" w:eastAsia="en-US"/>
        </w:rPr>
        <w:t xml:space="preserve">, Eaves, &amp; Martin, </w:t>
      </w:r>
      <w:r w:rsidR="00D74426" w:rsidRPr="00183207">
        <w:rPr>
          <w:sz w:val="20"/>
          <w:szCs w:val="20"/>
          <w:lang w:val="en-US" w:eastAsia="en-US"/>
        </w:rPr>
        <w:t>1988,</w:t>
      </w:r>
      <w:r w:rsidR="00496E1F" w:rsidRPr="00183207">
        <w:rPr>
          <w:sz w:val="20"/>
          <w:szCs w:val="20"/>
          <w:lang w:val="en-US" w:eastAsia="en-US"/>
        </w:rPr>
        <w:t xml:space="preserve"> 1989).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533BB3" w:rsidRPr="00183207" w:rsidRDefault="001E7EEF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What needs to be asked in this point is</w:t>
      </w:r>
      <w:r w:rsidR="00F75AE5" w:rsidRPr="00183207">
        <w:rPr>
          <w:sz w:val="20"/>
          <w:szCs w:val="20"/>
          <w:lang w:val="en-US"/>
        </w:rPr>
        <w:t xml:space="preserve"> i</w:t>
      </w:r>
      <w:r w:rsidR="001E6012" w:rsidRPr="00183207">
        <w:rPr>
          <w:sz w:val="20"/>
          <w:szCs w:val="20"/>
          <w:lang w:val="en-US"/>
        </w:rPr>
        <w:t>n what degree visual impairment</w:t>
      </w:r>
      <w:r w:rsidRPr="00183207">
        <w:rPr>
          <w:sz w:val="20"/>
          <w:szCs w:val="20"/>
          <w:lang w:val="en-US"/>
        </w:rPr>
        <w:t>s</w:t>
      </w:r>
      <w:r w:rsidR="001E6012" w:rsidRPr="00183207">
        <w:rPr>
          <w:sz w:val="20"/>
          <w:szCs w:val="20"/>
          <w:lang w:val="en-US"/>
        </w:rPr>
        <w:t xml:space="preserve"> </w:t>
      </w:r>
      <w:r w:rsidR="00F4575D" w:rsidRPr="00183207">
        <w:rPr>
          <w:sz w:val="20"/>
          <w:szCs w:val="20"/>
          <w:lang w:val="en-US"/>
        </w:rPr>
        <w:t>influences Extr</w:t>
      </w:r>
      <w:r w:rsidR="00B02274" w:rsidRPr="00183207">
        <w:rPr>
          <w:sz w:val="20"/>
          <w:szCs w:val="20"/>
          <w:lang w:val="en-US"/>
        </w:rPr>
        <w:t>a</w:t>
      </w:r>
      <w:r w:rsidR="00A12E7F" w:rsidRPr="00183207">
        <w:rPr>
          <w:sz w:val="20"/>
          <w:szCs w:val="20"/>
          <w:lang w:val="en-US"/>
        </w:rPr>
        <w:t xml:space="preserve">version, Psychoticism and </w:t>
      </w:r>
      <w:r w:rsidR="00F4575D" w:rsidRPr="00183207">
        <w:rPr>
          <w:sz w:val="20"/>
          <w:szCs w:val="20"/>
          <w:lang w:val="en-US"/>
        </w:rPr>
        <w:t>Neuroticism?</w:t>
      </w:r>
      <w:r w:rsidR="004030E5" w:rsidRPr="00183207">
        <w:rPr>
          <w:sz w:val="20"/>
          <w:szCs w:val="20"/>
          <w:lang w:val="en-US"/>
        </w:rPr>
        <w:t xml:space="preserve"> </w:t>
      </w:r>
      <w:r w:rsidR="008170D8" w:rsidRPr="00183207">
        <w:rPr>
          <w:sz w:val="20"/>
          <w:szCs w:val="20"/>
          <w:lang w:val="en-US"/>
        </w:rPr>
        <w:t xml:space="preserve"> </w:t>
      </w:r>
      <w:r w:rsidR="00423C9B" w:rsidRPr="00183207">
        <w:rPr>
          <w:sz w:val="20"/>
          <w:szCs w:val="20"/>
          <w:lang w:val="en-US"/>
        </w:rPr>
        <w:t>Adaptation to visual impairment entails adjustment of one’s self, values and life</w:t>
      </w:r>
      <w:r w:rsidR="00E5340A" w:rsidRPr="00183207">
        <w:rPr>
          <w:sz w:val="20"/>
          <w:szCs w:val="20"/>
          <w:lang w:val="en-US"/>
        </w:rPr>
        <w:t xml:space="preserve"> goals in order someone to meet the challenges arisen by the impairment</w:t>
      </w:r>
      <w:r w:rsidR="0075496F" w:rsidRPr="00183207">
        <w:rPr>
          <w:sz w:val="20"/>
          <w:szCs w:val="20"/>
          <w:lang w:val="en-US"/>
        </w:rPr>
        <w:t xml:space="preserve">.  </w:t>
      </w:r>
      <w:r w:rsidR="00E5340A" w:rsidRPr="00183207">
        <w:rPr>
          <w:sz w:val="20"/>
          <w:szCs w:val="20"/>
          <w:lang w:val="en-US"/>
        </w:rPr>
        <w:t>This process may be particularly strenuous especially after being sighted for many years (</w:t>
      </w:r>
      <w:proofErr w:type="spellStart"/>
      <w:r w:rsidR="00E5340A" w:rsidRPr="00183207">
        <w:rPr>
          <w:sz w:val="20"/>
          <w:szCs w:val="20"/>
          <w:lang w:val="en-US"/>
        </w:rPr>
        <w:t>Boerner</w:t>
      </w:r>
      <w:proofErr w:type="spellEnd"/>
      <w:r w:rsidR="00E5340A" w:rsidRPr="00183207">
        <w:rPr>
          <w:sz w:val="20"/>
          <w:szCs w:val="20"/>
          <w:lang w:val="en-US"/>
        </w:rPr>
        <w:t xml:space="preserve">, Wang, &amp; </w:t>
      </w:r>
      <w:proofErr w:type="spellStart"/>
      <w:r w:rsidR="00E5340A" w:rsidRPr="00183207">
        <w:rPr>
          <w:sz w:val="20"/>
          <w:szCs w:val="20"/>
          <w:lang w:val="en-US"/>
        </w:rPr>
        <w:t>Cimarolli</w:t>
      </w:r>
      <w:proofErr w:type="spellEnd"/>
      <w:r w:rsidR="00E5340A" w:rsidRPr="00183207">
        <w:rPr>
          <w:sz w:val="20"/>
          <w:szCs w:val="20"/>
          <w:lang w:val="en-US"/>
        </w:rPr>
        <w:t>, 2006)</w:t>
      </w:r>
      <w:r w:rsidR="0075496F" w:rsidRPr="00183207">
        <w:rPr>
          <w:sz w:val="20"/>
          <w:szCs w:val="20"/>
          <w:lang w:val="en-US"/>
        </w:rPr>
        <w:t xml:space="preserve">.  </w:t>
      </w:r>
      <w:r w:rsidR="00E40F1C" w:rsidRPr="00183207">
        <w:rPr>
          <w:sz w:val="20"/>
          <w:szCs w:val="20"/>
          <w:lang w:val="en-US"/>
        </w:rPr>
        <w:t>Visual</w:t>
      </w:r>
      <w:r w:rsidR="002E2ACA" w:rsidRPr="00183207">
        <w:rPr>
          <w:sz w:val="20"/>
          <w:szCs w:val="20"/>
          <w:lang w:val="en-US"/>
        </w:rPr>
        <w:t xml:space="preserve"> impairment </w:t>
      </w:r>
      <w:r w:rsidR="00343F73" w:rsidRPr="00183207">
        <w:rPr>
          <w:sz w:val="20"/>
          <w:szCs w:val="20"/>
          <w:lang w:val="en-US"/>
        </w:rPr>
        <w:t xml:space="preserve">may have a serious effect on people’s </w:t>
      </w:r>
      <w:r w:rsidR="002E2ACA" w:rsidRPr="00183207">
        <w:rPr>
          <w:sz w:val="20"/>
          <w:szCs w:val="20"/>
          <w:lang w:val="en-US"/>
        </w:rPr>
        <w:t>daily</w:t>
      </w:r>
      <w:r w:rsidR="000E67EB" w:rsidRPr="00183207">
        <w:rPr>
          <w:sz w:val="20"/>
          <w:szCs w:val="20"/>
          <w:lang w:val="en-US"/>
        </w:rPr>
        <w:t xml:space="preserve"> functioning, </w:t>
      </w:r>
      <w:r w:rsidR="0064455C" w:rsidRPr="00183207">
        <w:rPr>
          <w:sz w:val="20"/>
          <w:szCs w:val="20"/>
          <w:lang w:val="en-US"/>
        </w:rPr>
        <w:t>social relationships</w:t>
      </w:r>
      <w:r w:rsidR="002E2ACA" w:rsidRPr="00183207">
        <w:rPr>
          <w:sz w:val="20"/>
          <w:szCs w:val="20"/>
          <w:lang w:val="en-US"/>
        </w:rPr>
        <w:t xml:space="preserve"> and quality</w:t>
      </w:r>
      <w:r w:rsidR="00A611C4" w:rsidRPr="00183207">
        <w:rPr>
          <w:sz w:val="20"/>
          <w:szCs w:val="20"/>
          <w:lang w:val="en-US"/>
        </w:rPr>
        <w:t xml:space="preserve"> </w:t>
      </w:r>
      <w:r w:rsidR="002E2ACA" w:rsidRPr="00183207">
        <w:rPr>
          <w:sz w:val="20"/>
          <w:szCs w:val="20"/>
          <w:lang w:val="en-US"/>
        </w:rPr>
        <w:t>of life</w:t>
      </w:r>
      <w:r w:rsidR="00343F73" w:rsidRPr="00183207">
        <w:rPr>
          <w:sz w:val="20"/>
          <w:szCs w:val="20"/>
          <w:lang w:val="en-US"/>
        </w:rPr>
        <w:t xml:space="preserve"> </w:t>
      </w:r>
      <w:r w:rsidR="00904C82" w:rsidRPr="00183207">
        <w:rPr>
          <w:sz w:val="20"/>
          <w:szCs w:val="20"/>
          <w:lang w:val="en-US"/>
        </w:rPr>
        <w:t>(</w:t>
      </w:r>
      <w:proofErr w:type="spellStart"/>
      <w:r w:rsidR="00904C82" w:rsidRPr="00183207">
        <w:rPr>
          <w:sz w:val="20"/>
          <w:szCs w:val="20"/>
          <w:lang w:val="en-US"/>
        </w:rPr>
        <w:t>Boerner</w:t>
      </w:r>
      <w:proofErr w:type="spellEnd"/>
      <w:r w:rsidR="00A611C4" w:rsidRPr="00183207">
        <w:rPr>
          <w:sz w:val="20"/>
          <w:szCs w:val="20"/>
          <w:lang w:val="en-US"/>
        </w:rPr>
        <w:t xml:space="preserve"> </w:t>
      </w:r>
      <w:r w:rsidR="00CD43EE" w:rsidRPr="00183207">
        <w:rPr>
          <w:sz w:val="20"/>
          <w:szCs w:val="20"/>
          <w:lang w:val="en-US"/>
        </w:rPr>
        <w:t>et al.</w:t>
      </w:r>
      <w:r w:rsidR="00904C82" w:rsidRPr="00183207">
        <w:rPr>
          <w:sz w:val="20"/>
          <w:szCs w:val="20"/>
          <w:lang w:val="en-US"/>
        </w:rPr>
        <w:t>,</w:t>
      </w:r>
      <w:r w:rsidR="00A611C4" w:rsidRPr="00183207">
        <w:rPr>
          <w:sz w:val="20"/>
          <w:szCs w:val="20"/>
          <w:lang w:val="en-US"/>
        </w:rPr>
        <w:t xml:space="preserve"> 200</w:t>
      </w:r>
      <w:r w:rsidR="00891F23" w:rsidRPr="00183207">
        <w:rPr>
          <w:sz w:val="20"/>
          <w:szCs w:val="20"/>
          <w:lang w:val="en-US"/>
        </w:rPr>
        <w:t>6</w:t>
      </w:r>
      <w:r w:rsidR="00A611C4" w:rsidRPr="00183207">
        <w:rPr>
          <w:sz w:val="20"/>
          <w:szCs w:val="20"/>
          <w:lang w:val="en-US"/>
        </w:rPr>
        <w:t>)</w:t>
      </w:r>
      <w:r w:rsidR="0064455C" w:rsidRPr="00183207">
        <w:rPr>
          <w:sz w:val="20"/>
          <w:szCs w:val="20"/>
          <w:lang w:val="en-US"/>
        </w:rPr>
        <w:t xml:space="preserve">, and may also challenge </w:t>
      </w:r>
      <w:r w:rsidR="0064455C" w:rsidRPr="00183207">
        <w:rPr>
          <w:sz w:val="20"/>
          <w:szCs w:val="20"/>
        </w:rPr>
        <w:t>their physical capacities as well as their psychological capacities to adjustment</w:t>
      </w:r>
      <w:r w:rsidR="0064455C" w:rsidRPr="00183207">
        <w:rPr>
          <w:sz w:val="20"/>
          <w:szCs w:val="20"/>
          <w:lang w:val="en-US"/>
        </w:rPr>
        <w:t xml:space="preserve"> (Harrington &amp; McDermott, 1993)</w:t>
      </w:r>
      <w:r w:rsidR="0064455C" w:rsidRPr="00183207">
        <w:rPr>
          <w:sz w:val="20"/>
          <w:szCs w:val="20"/>
        </w:rPr>
        <w:t>.</w:t>
      </w:r>
    </w:p>
    <w:p w:rsidR="00183207" w:rsidRDefault="00183207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</w:p>
    <w:p w:rsidR="009A4CE9" w:rsidRPr="00183207" w:rsidRDefault="009A4CE9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  <w:r w:rsidRPr="00183207">
        <w:rPr>
          <w:sz w:val="20"/>
          <w:szCs w:val="20"/>
        </w:rPr>
        <w:t>Few studies have been done in order to examin</w:t>
      </w:r>
      <w:r w:rsidR="00F64073" w:rsidRPr="00183207">
        <w:rPr>
          <w:sz w:val="20"/>
          <w:szCs w:val="20"/>
        </w:rPr>
        <w:t>e</w:t>
      </w:r>
      <w:r w:rsidRPr="00183207">
        <w:rPr>
          <w:sz w:val="20"/>
          <w:szCs w:val="20"/>
        </w:rPr>
        <w:t xml:space="preserve"> the personality traits of the adults with visual impairments</w:t>
      </w:r>
      <w:r w:rsidR="0075496F" w:rsidRPr="00183207">
        <w:rPr>
          <w:sz w:val="20"/>
          <w:szCs w:val="20"/>
        </w:rPr>
        <w:t xml:space="preserve">.  </w:t>
      </w:r>
      <w:r w:rsidRPr="00183207">
        <w:rPr>
          <w:sz w:val="20"/>
          <w:szCs w:val="20"/>
        </w:rPr>
        <w:t>Thus, there are limited findings available for a comprehensive review</w:t>
      </w:r>
      <w:r w:rsidR="0075496F" w:rsidRPr="00183207">
        <w:rPr>
          <w:sz w:val="20"/>
          <w:szCs w:val="20"/>
        </w:rPr>
        <w:t xml:space="preserve">.  </w:t>
      </w:r>
      <w:r w:rsidRPr="00183207">
        <w:rPr>
          <w:sz w:val="20"/>
          <w:szCs w:val="20"/>
        </w:rPr>
        <w:t xml:space="preserve">In general, there is an obvious shortage not only in the application of the personality test in the </w:t>
      </w:r>
      <w:r w:rsidR="004D3CE1" w:rsidRPr="00183207">
        <w:rPr>
          <w:sz w:val="20"/>
          <w:szCs w:val="20"/>
        </w:rPr>
        <w:t>persons with visual impairments</w:t>
      </w:r>
      <w:r w:rsidRPr="00183207">
        <w:rPr>
          <w:sz w:val="20"/>
          <w:szCs w:val="20"/>
        </w:rPr>
        <w:t xml:space="preserve">, but also in the evaluation of the results since there have been few attempts to standardize the test in order to adapt them to the </w:t>
      </w:r>
      <w:r w:rsidR="004D3CE1" w:rsidRPr="00183207">
        <w:rPr>
          <w:sz w:val="20"/>
          <w:szCs w:val="20"/>
        </w:rPr>
        <w:t>persons with visual impairments</w:t>
      </w:r>
      <w:r w:rsidRPr="00183207">
        <w:rPr>
          <w:sz w:val="20"/>
          <w:szCs w:val="20"/>
        </w:rPr>
        <w:t xml:space="preserve"> (</w:t>
      </w:r>
      <w:proofErr w:type="spellStart"/>
      <w:r w:rsidR="0026383C" w:rsidRPr="00183207">
        <w:rPr>
          <w:sz w:val="20"/>
          <w:szCs w:val="20"/>
        </w:rPr>
        <w:t>Haymes</w:t>
      </w:r>
      <w:proofErr w:type="spellEnd"/>
      <w:r w:rsidR="0026383C" w:rsidRPr="00183207">
        <w:rPr>
          <w:sz w:val="20"/>
          <w:szCs w:val="20"/>
        </w:rPr>
        <w:t xml:space="preserve">, Guest, </w:t>
      </w:r>
      <w:proofErr w:type="spellStart"/>
      <w:r w:rsidR="0026383C" w:rsidRPr="00183207">
        <w:rPr>
          <w:sz w:val="20"/>
          <w:szCs w:val="20"/>
        </w:rPr>
        <w:t>Heyes</w:t>
      </w:r>
      <w:proofErr w:type="spellEnd"/>
      <w:r w:rsidR="00023828" w:rsidRPr="00183207">
        <w:rPr>
          <w:sz w:val="20"/>
          <w:szCs w:val="20"/>
        </w:rPr>
        <w:t>,</w:t>
      </w:r>
      <w:r w:rsidRPr="00183207">
        <w:rPr>
          <w:sz w:val="20"/>
          <w:szCs w:val="20"/>
        </w:rPr>
        <w:t xml:space="preserve"> &amp; Johnston, 1996</w:t>
      </w:r>
      <w:r w:rsidR="00021E4F" w:rsidRPr="00183207">
        <w:rPr>
          <w:sz w:val="20"/>
          <w:szCs w:val="20"/>
        </w:rPr>
        <w:t>; Warren, 1984</w:t>
      </w:r>
      <w:r w:rsidRPr="00183207">
        <w:rPr>
          <w:sz w:val="20"/>
          <w:szCs w:val="20"/>
        </w:rPr>
        <w:t>)</w:t>
      </w:r>
      <w:r w:rsidR="0075496F" w:rsidRPr="00183207">
        <w:rPr>
          <w:sz w:val="20"/>
          <w:szCs w:val="20"/>
        </w:rPr>
        <w:t xml:space="preserve">.  </w:t>
      </w:r>
      <w:r w:rsidRPr="00183207">
        <w:rPr>
          <w:sz w:val="20"/>
          <w:szCs w:val="20"/>
        </w:rPr>
        <w:t xml:space="preserve">Furthermore, there are no norms for </w:t>
      </w:r>
      <w:r w:rsidR="004D3CE1" w:rsidRPr="00183207">
        <w:rPr>
          <w:sz w:val="20"/>
          <w:szCs w:val="20"/>
        </w:rPr>
        <w:t>persons with visual impairments</w:t>
      </w:r>
      <w:r w:rsidRPr="00183207">
        <w:rPr>
          <w:sz w:val="20"/>
          <w:szCs w:val="20"/>
        </w:rPr>
        <w:t xml:space="preserve"> (Swallow, 1982)</w:t>
      </w:r>
      <w:r w:rsidR="0075496F" w:rsidRPr="00183207">
        <w:rPr>
          <w:sz w:val="20"/>
          <w:szCs w:val="20"/>
        </w:rPr>
        <w:t xml:space="preserve">.  </w:t>
      </w:r>
      <w:r w:rsidRPr="00183207">
        <w:rPr>
          <w:sz w:val="20"/>
          <w:szCs w:val="20"/>
        </w:rPr>
        <w:t xml:space="preserve">A further criticism regarding the use of personality questionnaires is the claim that </w:t>
      </w:r>
      <w:r w:rsidRPr="00183207">
        <w:rPr>
          <w:sz w:val="20"/>
          <w:szCs w:val="20"/>
        </w:rPr>
        <w:lastRenderedPageBreak/>
        <w:t>they are open to various forms of misinterpretation of the answers – the participants may proceed to a conscious or random misinterpretation of the answers (Furnham, 1990).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Despite the difficulties in applying and intrepreting the personality questionnaires,</w:t>
      </w:r>
      <w:r w:rsidR="00277C80" w:rsidRPr="00183207">
        <w:rPr>
          <w:sz w:val="20"/>
          <w:szCs w:val="20"/>
          <w:lang w:val="en-US"/>
        </w:rPr>
        <w:t xml:space="preserve"> </w:t>
      </w:r>
      <w:r w:rsidR="0082534F" w:rsidRPr="00183207">
        <w:rPr>
          <w:sz w:val="20"/>
          <w:szCs w:val="20"/>
          <w:lang w:val="en-US"/>
        </w:rPr>
        <w:t xml:space="preserve">some </w:t>
      </w:r>
      <w:r w:rsidRPr="00183207">
        <w:rPr>
          <w:sz w:val="20"/>
          <w:szCs w:val="20"/>
          <w:lang w:val="en-US"/>
        </w:rPr>
        <w:t>rese</w:t>
      </w:r>
      <w:r w:rsidR="00277C80" w:rsidRPr="00183207">
        <w:rPr>
          <w:sz w:val="20"/>
          <w:szCs w:val="20"/>
          <w:lang w:val="en-US"/>
        </w:rPr>
        <w:t>archers have attempted</w:t>
      </w:r>
      <w:r w:rsidRPr="00183207">
        <w:rPr>
          <w:sz w:val="20"/>
          <w:szCs w:val="20"/>
          <w:lang w:val="en-US"/>
        </w:rPr>
        <w:t xml:space="preserve"> to </w:t>
      </w:r>
      <w:r w:rsidR="00277C80" w:rsidRPr="00183207">
        <w:rPr>
          <w:sz w:val="20"/>
          <w:szCs w:val="20"/>
          <w:lang w:val="en-US"/>
        </w:rPr>
        <w:t xml:space="preserve">make </w:t>
      </w:r>
      <w:r w:rsidRPr="00183207">
        <w:rPr>
          <w:sz w:val="20"/>
          <w:szCs w:val="20"/>
          <w:lang w:val="en-US"/>
        </w:rPr>
        <w:t xml:space="preserve">a comparison between different groups of people </w:t>
      </w:r>
      <w:r w:rsidR="004D3CE1" w:rsidRPr="00183207">
        <w:rPr>
          <w:sz w:val="20"/>
          <w:szCs w:val="20"/>
          <w:lang w:val="en-US"/>
        </w:rPr>
        <w:t>with visual impairments</w:t>
      </w:r>
      <w:r w:rsidRPr="00183207">
        <w:rPr>
          <w:sz w:val="20"/>
          <w:szCs w:val="20"/>
          <w:lang w:val="en-US"/>
        </w:rPr>
        <w:t xml:space="preserve"> (</w:t>
      </w:r>
      <w:proofErr w:type="spellStart"/>
      <w:r w:rsidRPr="00183207">
        <w:rPr>
          <w:sz w:val="20"/>
          <w:szCs w:val="20"/>
          <w:lang w:val="en-US"/>
        </w:rPr>
        <w:t>eg</w:t>
      </w:r>
      <w:proofErr w:type="spellEnd"/>
      <w:r w:rsidRPr="00183207">
        <w:rPr>
          <w:sz w:val="20"/>
          <w:szCs w:val="20"/>
          <w:lang w:val="en-US"/>
        </w:rPr>
        <w:t>. men/women, blind</w:t>
      </w:r>
      <w:r w:rsidR="00C17818" w:rsidRPr="00183207">
        <w:rPr>
          <w:sz w:val="20"/>
          <w:szCs w:val="20"/>
          <w:lang w:val="en-US"/>
        </w:rPr>
        <w:t>ness</w:t>
      </w:r>
      <w:r w:rsidRPr="00183207">
        <w:rPr>
          <w:sz w:val="20"/>
          <w:szCs w:val="20"/>
          <w:lang w:val="en-US"/>
        </w:rPr>
        <w:t>/low vision), as well as a comparison amongst the people with visual imp</w:t>
      </w:r>
      <w:r w:rsidR="00277C80" w:rsidRPr="00183207">
        <w:rPr>
          <w:sz w:val="20"/>
          <w:szCs w:val="20"/>
          <w:lang w:val="en-US"/>
        </w:rPr>
        <w:t>airment</w:t>
      </w:r>
      <w:r w:rsidR="00F75AE5" w:rsidRPr="00183207">
        <w:rPr>
          <w:sz w:val="20"/>
          <w:szCs w:val="20"/>
          <w:lang w:val="en-US"/>
        </w:rPr>
        <w:t>s</w:t>
      </w:r>
      <w:r w:rsidR="00277C80" w:rsidRPr="00183207">
        <w:rPr>
          <w:sz w:val="20"/>
          <w:szCs w:val="20"/>
          <w:lang w:val="en-US"/>
        </w:rPr>
        <w:t xml:space="preserve"> and the sighted people</w:t>
      </w:r>
      <w:r w:rsidR="0075496F" w:rsidRPr="00183207">
        <w:rPr>
          <w:sz w:val="20"/>
          <w:szCs w:val="20"/>
          <w:lang w:val="en-US"/>
        </w:rPr>
        <w:t xml:space="preserve">.  </w:t>
      </w:r>
      <w:r w:rsidR="0064455C" w:rsidRPr="00183207">
        <w:rPr>
          <w:sz w:val="20"/>
          <w:szCs w:val="20"/>
        </w:rPr>
        <w:t xml:space="preserve">Νo evidence </w:t>
      </w:r>
      <w:r w:rsidR="0064455C" w:rsidRPr="00183207">
        <w:rPr>
          <w:sz w:val="20"/>
          <w:szCs w:val="20"/>
          <w:lang w:val="en-US"/>
        </w:rPr>
        <w:t>for</w:t>
      </w:r>
      <w:r w:rsidR="0064455C" w:rsidRPr="00183207">
        <w:rPr>
          <w:sz w:val="20"/>
          <w:szCs w:val="20"/>
        </w:rPr>
        <w:t xml:space="preserve"> significant</w:t>
      </w:r>
      <w:r w:rsidR="0064455C" w:rsidRPr="00183207">
        <w:rPr>
          <w:sz w:val="20"/>
          <w:szCs w:val="20"/>
          <w:lang w:val="en-US"/>
        </w:rPr>
        <w:t xml:space="preserve"> </w:t>
      </w:r>
      <w:r w:rsidR="0064455C" w:rsidRPr="00183207">
        <w:rPr>
          <w:sz w:val="20"/>
          <w:szCs w:val="20"/>
        </w:rPr>
        <w:t>differences in personality traits between individuals with visual impairments and sighted</w:t>
      </w:r>
      <w:r w:rsidR="0064455C" w:rsidRPr="00183207">
        <w:rPr>
          <w:sz w:val="20"/>
          <w:szCs w:val="20"/>
          <w:lang w:val="en-US"/>
        </w:rPr>
        <w:t xml:space="preserve"> individuals has been detected in research studies (Harrington &amp; McDermott, 1993)</w:t>
      </w:r>
      <w:r w:rsidR="0075496F" w:rsidRPr="00183207">
        <w:rPr>
          <w:sz w:val="20"/>
          <w:szCs w:val="20"/>
          <w:lang w:val="en-GB"/>
        </w:rPr>
        <w:t xml:space="preserve">.  </w:t>
      </w:r>
      <w:r w:rsidR="00183207">
        <w:rPr>
          <w:sz w:val="20"/>
          <w:szCs w:val="20"/>
          <w:lang w:val="en-US"/>
        </w:rPr>
        <w:t xml:space="preserve">Some writers strongly believe </w:t>
      </w:r>
      <w:r w:rsidRPr="00183207">
        <w:rPr>
          <w:i/>
          <w:sz w:val="20"/>
          <w:szCs w:val="20"/>
          <w:lang w:val="en-US"/>
        </w:rPr>
        <w:t>the blind person’s personality</w:t>
      </w:r>
      <w:r w:rsidRPr="00183207">
        <w:rPr>
          <w:sz w:val="20"/>
          <w:szCs w:val="20"/>
          <w:lang w:val="en-US"/>
        </w:rPr>
        <w:t xml:space="preserve"> to be qualitatively different than that of the sighted individual, while others stand by the belief that there is no essential difference (Warren, 1984).</w:t>
      </w:r>
    </w:p>
    <w:p w:rsidR="00183207" w:rsidRDefault="00183207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</w:p>
    <w:p w:rsidR="009A4CE9" w:rsidRPr="00183207" w:rsidRDefault="009A4CE9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  <w:r w:rsidRPr="00183207">
        <w:rPr>
          <w:sz w:val="20"/>
          <w:szCs w:val="20"/>
        </w:rPr>
        <w:t>In regards to extraversion, Warren (1984) reviewed various research projects for which different tests were used with contradictory results in certain cases</w:t>
      </w:r>
      <w:r w:rsidR="0075496F" w:rsidRPr="00183207">
        <w:rPr>
          <w:sz w:val="20"/>
          <w:szCs w:val="20"/>
        </w:rPr>
        <w:t xml:space="preserve">.  </w:t>
      </w:r>
      <w:r w:rsidRPr="00183207">
        <w:rPr>
          <w:sz w:val="20"/>
          <w:szCs w:val="20"/>
        </w:rPr>
        <w:t xml:space="preserve">According to this review: </w:t>
      </w:r>
      <w:r w:rsidR="002661AE" w:rsidRPr="00183207">
        <w:rPr>
          <w:sz w:val="20"/>
          <w:szCs w:val="20"/>
        </w:rPr>
        <w:t>a)</w:t>
      </w:r>
      <w:r w:rsidR="0011510C" w:rsidRPr="00183207">
        <w:rPr>
          <w:sz w:val="20"/>
          <w:szCs w:val="20"/>
        </w:rPr>
        <w:t xml:space="preserve"> </w:t>
      </w:r>
      <w:r w:rsidR="002661AE" w:rsidRPr="00183207">
        <w:rPr>
          <w:sz w:val="20"/>
          <w:szCs w:val="20"/>
        </w:rPr>
        <w:t xml:space="preserve">children </w:t>
      </w:r>
      <w:r w:rsidR="0011510C" w:rsidRPr="00183207">
        <w:rPr>
          <w:sz w:val="20"/>
          <w:szCs w:val="20"/>
        </w:rPr>
        <w:t>with blindness generally present</w:t>
      </w:r>
      <w:r w:rsidR="002661AE" w:rsidRPr="00183207">
        <w:rPr>
          <w:sz w:val="20"/>
          <w:szCs w:val="20"/>
        </w:rPr>
        <w:t xml:space="preserve"> lower extr</w:t>
      </w:r>
      <w:r w:rsidR="00B02274" w:rsidRPr="00183207">
        <w:rPr>
          <w:sz w:val="20"/>
          <w:szCs w:val="20"/>
        </w:rPr>
        <w:t>a</w:t>
      </w:r>
      <w:r w:rsidR="002661AE" w:rsidRPr="00183207">
        <w:rPr>
          <w:sz w:val="20"/>
          <w:szCs w:val="20"/>
        </w:rPr>
        <w:t>version scores than sighted children</w:t>
      </w:r>
      <w:r w:rsidR="0064757F" w:rsidRPr="00183207">
        <w:rPr>
          <w:sz w:val="20"/>
          <w:szCs w:val="20"/>
        </w:rPr>
        <w:t xml:space="preserve"> </w:t>
      </w:r>
      <w:r w:rsidR="002661AE" w:rsidRPr="00183207">
        <w:rPr>
          <w:sz w:val="20"/>
          <w:szCs w:val="20"/>
        </w:rPr>
        <w:t>b</w:t>
      </w:r>
      <w:r w:rsidR="001E7EEF" w:rsidRPr="00183207">
        <w:rPr>
          <w:sz w:val="20"/>
          <w:szCs w:val="20"/>
        </w:rPr>
        <w:t xml:space="preserve">) </w:t>
      </w:r>
      <w:r w:rsidRPr="00183207">
        <w:rPr>
          <w:sz w:val="20"/>
          <w:szCs w:val="20"/>
        </w:rPr>
        <w:t>adolescents and young adul</w:t>
      </w:r>
      <w:r w:rsidR="006C764F" w:rsidRPr="00183207">
        <w:rPr>
          <w:sz w:val="20"/>
          <w:szCs w:val="20"/>
        </w:rPr>
        <w:t xml:space="preserve">ts </w:t>
      </w:r>
      <w:r w:rsidR="001E7EEF" w:rsidRPr="00183207">
        <w:rPr>
          <w:sz w:val="20"/>
          <w:szCs w:val="20"/>
        </w:rPr>
        <w:t xml:space="preserve">with blindness </w:t>
      </w:r>
      <w:r w:rsidRPr="00183207">
        <w:rPr>
          <w:sz w:val="20"/>
          <w:szCs w:val="20"/>
        </w:rPr>
        <w:t>do not show any statistically significant differences in compar</w:t>
      </w:r>
      <w:r w:rsidR="004030E5" w:rsidRPr="00183207">
        <w:rPr>
          <w:sz w:val="20"/>
          <w:szCs w:val="20"/>
        </w:rPr>
        <w:t>ison with their sighted peers, c</w:t>
      </w:r>
      <w:r w:rsidRPr="00183207">
        <w:rPr>
          <w:sz w:val="20"/>
          <w:szCs w:val="20"/>
        </w:rPr>
        <w:t>) males</w:t>
      </w:r>
      <w:r w:rsidR="00E83B93" w:rsidRPr="00183207">
        <w:rPr>
          <w:sz w:val="20"/>
          <w:szCs w:val="20"/>
        </w:rPr>
        <w:t xml:space="preserve"> with visual impairments</w:t>
      </w:r>
      <w:r w:rsidR="000F4E3D" w:rsidRPr="00183207">
        <w:rPr>
          <w:sz w:val="20"/>
          <w:szCs w:val="20"/>
        </w:rPr>
        <w:t xml:space="preserve"> </w:t>
      </w:r>
      <w:r w:rsidR="006C764F" w:rsidRPr="00183207">
        <w:rPr>
          <w:sz w:val="20"/>
          <w:szCs w:val="20"/>
        </w:rPr>
        <w:t>(blindness or low vision)</w:t>
      </w:r>
      <w:r w:rsidRPr="00183207">
        <w:rPr>
          <w:sz w:val="20"/>
          <w:szCs w:val="20"/>
        </w:rPr>
        <w:t xml:space="preserve"> seems to be more extrovert than females </w:t>
      </w:r>
      <w:r w:rsidR="00E83B93" w:rsidRPr="00183207">
        <w:rPr>
          <w:sz w:val="20"/>
          <w:szCs w:val="20"/>
        </w:rPr>
        <w:t xml:space="preserve">with visual impairments </w:t>
      </w:r>
      <w:r w:rsidRPr="00183207">
        <w:rPr>
          <w:sz w:val="20"/>
          <w:szCs w:val="20"/>
        </w:rPr>
        <w:t>(Warren, 1984)</w:t>
      </w:r>
      <w:r w:rsidR="0075496F" w:rsidRPr="00183207">
        <w:rPr>
          <w:sz w:val="20"/>
          <w:szCs w:val="20"/>
        </w:rPr>
        <w:t xml:space="preserve">.  </w:t>
      </w:r>
      <w:r w:rsidR="004030E5" w:rsidRPr="00183207">
        <w:rPr>
          <w:sz w:val="20"/>
          <w:szCs w:val="20"/>
        </w:rPr>
        <w:t xml:space="preserve">As far as </w:t>
      </w:r>
      <w:r w:rsidRPr="00183207">
        <w:rPr>
          <w:sz w:val="20"/>
          <w:szCs w:val="20"/>
        </w:rPr>
        <w:t>neuroticism</w:t>
      </w:r>
      <w:r w:rsidR="004030E5" w:rsidRPr="00183207">
        <w:rPr>
          <w:sz w:val="20"/>
          <w:szCs w:val="20"/>
        </w:rPr>
        <w:t xml:space="preserve"> is concerned, </w:t>
      </w:r>
      <w:r w:rsidRPr="00183207">
        <w:rPr>
          <w:sz w:val="20"/>
          <w:szCs w:val="20"/>
        </w:rPr>
        <w:t xml:space="preserve">researchers’ </w:t>
      </w:r>
      <w:r w:rsidR="005E3CE9" w:rsidRPr="00183207">
        <w:rPr>
          <w:sz w:val="20"/>
          <w:szCs w:val="20"/>
        </w:rPr>
        <w:t>findings</w:t>
      </w:r>
      <w:r w:rsidRPr="00183207">
        <w:rPr>
          <w:sz w:val="20"/>
          <w:szCs w:val="20"/>
        </w:rPr>
        <w:t xml:space="preserve"> </w:t>
      </w:r>
      <w:r w:rsidR="004030E5" w:rsidRPr="00183207">
        <w:rPr>
          <w:sz w:val="20"/>
          <w:szCs w:val="20"/>
        </w:rPr>
        <w:t>are in greater agreement</w:t>
      </w:r>
      <w:r w:rsidR="0075496F" w:rsidRPr="00183207">
        <w:rPr>
          <w:sz w:val="20"/>
          <w:szCs w:val="20"/>
        </w:rPr>
        <w:t xml:space="preserve">.  </w:t>
      </w:r>
      <w:r w:rsidR="007C18B4" w:rsidRPr="00183207">
        <w:rPr>
          <w:sz w:val="20"/>
          <w:szCs w:val="20"/>
        </w:rPr>
        <w:t>Specifically</w:t>
      </w:r>
      <w:r w:rsidR="00CD3941" w:rsidRPr="00183207">
        <w:rPr>
          <w:sz w:val="20"/>
          <w:szCs w:val="20"/>
        </w:rPr>
        <w:t xml:space="preserve">, </w:t>
      </w:r>
      <w:r w:rsidR="004030E5" w:rsidRPr="00183207">
        <w:rPr>
          <w:sz w:val="20"/>
          <w:szCs w:val="20"/>
        </w:rPr>
        <w:t xml:space="preserve">findings show that </w:t>
      </w:r>
      <w:r w:rsidR="007C18B4" w:rsidRPr="00183207">
        <w:rPr>
          <w:sz w:val="20"/>
          <w:szCs w:val="20"/>
        </w:rPr>
        <w:t xml:space="preserve">adolescents and young adults </w:t>
      </w:r>
      <w:r w:rsidR="004030E5" w:rsidRPr="00183207">
        <w:rPr>
          <w:sz w:val="20"/>
          <w:szCs w:val="20"/>
        </w:rPr>
        <w:t xml:space="preserve">with blindness appear </w:t>
      </w:r>
      <w:r w:rsidRPr="00183207">
        <w:rPr>
          <w:sz w:val="20"/>
          <w:szCs w:val="20"/>
        </w:rPr>
        <w:t>to be more neurotic than their sighted counterparts</w:t>
      </w:r>
      <w:r w:rsidR="004E549F" w:rsidRPr="00183207">
        <w:rPr>
          <w:sz w:val="20"/>
          <w:szCs w:val="20"/>
        </w:rPr>
        <w:t xml:space="preserve"> (Warren, 1984)</w:t>
      </w:r>
      <w:r w:rsidR="0075496F" w:rsidRPr="00183207">
        <w:rPr>
          <w:sz w:val="20"/>
          <w:szCs w:val="20"/>
        </w:rPr>
        <w:t xml:space="preserve">.  </w:t>
      </w:r>
      <w:r w:rsidR="004030E5" w:rsidRPr="00183207">
        <w:rPr>
          <w:sz w:val="20"/>
          <w:szCs w:val="20"/>
        </w:rPr>
        <w:t xml:space="preserve">Comparing both sexes, </w:t>
      </w:r>
      <w:r w:rsidR="00E17AE3" w:rsidRPr="00183207">
        <w:rPr>
          <w:sz w:val="20"/>
          <w:szCs w:val="20"/>
        </w:rPr>
        <w:t>fe</w:t>
      </w:r>
      <w:r w:rsidRPr="00183207">
        <w:rPr>
          <w:sz w:val="20"/>
          <w:szCs w:val="20"/>
        </w:rPr>
        <w:t xml:space="preserve">males </w:t>
      </w:r>
      <w:r w:rsidR="004030E5" w:rsidRPr="00183207">
        <w:rPr>
          <w:sz w:val="20"/>
          <w:szCs w:val="20"/>
        </w:rPr>
        <w:t xml:space="preserve">with blindness </w:t>
      </w:r>
      <w:r w:rsidRPr="00183207">
        <w:rPr>
          <w:sz w:val="20"/>
          <w:szCs w:val="20"/>
        </w:rPr>
        <w:t>(adolescents and young adults) are defined as b</w:t>
      </w:r>
      <w:r w:rsidR="004030E5" w:rsidRPr="00183207">
        <w:rPr>
          <w:sz w:val="20"/>
          <w:szCs w:val="20"/>
        </w:rPr>
        <w:t xml:space="preserve">eing more neurotic than </w:t>
      </w:r>
      <w:r w:rsidRPr="00183207">
        <w:rPr>
          <w:sz w:val="20"/>
          <w:szCs w:val="20"/>
        </w:rPr>
        <w:t xml:space="preserve">males </w:t>
      </w:r>
      <w:r w:rsidR="004030E5" w:rsidRPr="00183207">
        <w:rPr>
          <w:sz w:val="20"/>
          <w:szCs w:val="20"/>
        </w:rPr>
        <w:t xml:space="preserve">with blindness </w:t>
      </w:r>
      <w:r w:rsidRPr="00183207">
        <w:rPr>
          <w:sz w:val="20"/>
          <w:szCs w:val="20"/>
        </w:rPr>
        <w:t>(Warren, 1984)</w:t>
      </w:r>
      <w:r w:rsidR="0075496F" w:rsidRPr="00183207">
        <w:rPr>
          <w:sz w:val="20"/>
          <w:szCs w:val="20"/>
        </w:rPr>
        <w:t xml:space="preserve">.  </w:t>
      </w:r>
      <w:r w:rsidR="005E3CE9" w:rsidRPr="00183207">
        <w:rPr>
          <w:sz w:val="20"/>
          <w:szCs w:val="20"/>
        </w:rPr>
        <w:t>Moreover, no differences in neuroticism between adolescents with residual vision and adolescents w</w:t>
      </w:r>
      <w:r w:rsidR="004030E5" w:rsidRPr="00183207">
        <w:rPr>
          <w:sz w:val="20"/>
          <w:szCs w:val="20"/>
        </w:rPr>
        <w:t>ith total blindness have been observed</w:t>
      </w:r>
      <w:r w:rsidR="005E3CE9" w:rsidRPr="00183207">
        <w:rPr>
          <w:sz w:val="20"/>
          <w:szCs w:val="20"/>
        </w:rPr>
        <w:t xml:space="preserve"> (Warren, 1984).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2661AE" w:rsidRPr="00183207" w:rsidRDefault="002661AE" w:rsidP="00183207">
      <w:pPr>
        <w:jc w:val="both"/>
        <w:rPr>
          <w:sz w:val="20"/>
          <w:szCs w:val="20"/>
          <w:highlight w:val="yellow"/>
          <w:lang w:val="en-US"/>
        </w:rPr>
      </w:pPr>
      <w:r w:rsidRPr="00183207">
        <w:rPr>
          <w:sz w:val="20"/>
          <w:szCs w:val="20"/>
          <w:lang w:val="en-US"/>
        </w:rPr>
        <w:t xml:space="preserve">The results from the study done by Adrian, Miller and De </w:t>
      </w:r>
      <w:proofErr w:type="spellStart"/>
      <w:r w:rsidRPr="00183207">
        <w:rPr>
          <w:sz w:val="20"/>
          <w:szCs w:val="20"/>
          <w:lang w:val="en-US"/>
        </w:rPr>
        <w:t>l’Aune</w:t>
      </w:r>
      <w:proofErr w:type="spellEnd"/>
      <w:r w:rsidRPr="00183207">
        <w:rPr>
          <w:sz w:val="20"/>
          <w:szCs w:val="20"/>
          <w:lang w:val="en-US"/>
        </w:rPr>
        <w:t xml:space="preserve"> (1982) </w:t>
      </w:r>
      <w:r w:rsidR="006547D7" w:rsidRPr="00183207">
        <w:rPr>
          <w:sz w:val="20"/>
          <w:szCs w:val="20"/>
          <w:lang w:val="en-US"/>
        </w:rPr>
        <w:t>suggested</w:t>
      </w:r>
      <w:r w:rsidRPr="00183207">
        <w:rPr>
          <w:sz w:val="20"/>
          <w:szCs w:val="20"/>
          <w:lang w:val="en-US"/>
        </w:rPr>
        <w:t xml:space="preserve"> that individuals with visual impairments show </w:t>
      </w:r>
      <w:r w:rsidR="000F0116" w:rsidRPr="00183207">
        <w:rPr>
          <w:sz w:val="20"/>
          <w:szCs w:val="20"/>
          <w:lang w:val="en-US"/>
        </w:rPr>
        <w:t xml:space="preserve">psychological pathology on the dimensions of depression, </w:t>
      </w:r>
      <w:proofErr w:type="spellStart"/>
      <w:r w:rsidR="000F0116" w:rsidRPr="00183207">
        <w:rPr>
          <w:sz w:val="20"/>
          <w:szCs w:val="20"/>
          <w:lang w:val="en-US"/>
        </w:rPr>
        <w:t>psychasthenia</w:t>
      </w:r>
      <w:proofErr w:type="spellEnd"/>
      <w:r w:rsidR="000F0116" w:rsidRPr="00183207">
        <w:rPr>
          <w:sz w:val="20"/>
          <w:szCs w:val="20"/>
          <w:lang w:val="en-US"/>
        </w:rPr>
        <w:t>, and schizophrenia</w:t>
      </w:r>
      <w:r w:rsidR="0075496F" w:rsidRPr="00183207">
        <w:rPr>
          <w:sz w:val="20"/>
          <w:szCs w:val="20"/>
          <w:lang w:val="en-US"/>
        </w:rPr>
        <w:t xml:space="preserve">.  </w:t>
      </w:r>
      <w:r w:rsidR="004030E5" w:rsidRPr="00183207">
        <w:rPr>
          <w:sz w:val="20"/>
          <w:szCs w:val="20"/>
          <w:lang w:val="en-US"/>
        </w:rPr>
        <w:t xml:space="preserve">The </w:t>
      </w:r>
      <w:r w:rsidRPr="00183207">
        <w:rPr>
          <w:sz w:val="20"/>
          <w:szCs w:val="20"/>
          <w:lang w:val="en-US"/>
        </w:rPr>
        <w:t xml:space="preserve">researchers </w:t>
      </w:r>
      <w:r w:rsidR="004030E5" w:rsidRPr="00183207">
        <w:rPr>
          <w:sz w:val="20"/>
          <w:szCs w:val="20"/>
          <w:lang w:val="en-US"/>
        </w:rPr>
        <w:t xml:space="preserve">above </w:t>
      </w:r>
      <w:r w:rsidRPr="00183207">
        <w:rPr>
          <w:sz w:val="20"/>
          <w:szCs w:val="20"/>
          <w:lang w:val="en-US"/>
        </w:rPr>
        <w:t xml:space="preserve">used CPI (California Personality Inventory) and MMPI (Minnesota Multiphasic Personality Inventory) as research tools in order to evaluate a sample of 128 adults with congenital visual impairments </w:t>
      </w:r>
      <w:r w:rsidR="001E7EEF" w:rsidRPr="00183207">
        <w:rPr>
          <w:sz w:val="20"/>
          <w:szCs w:val="20"/>
          <w:lang w:val="en-US"/>
        </w:rPr>
        <w:t>(both blindness and</w:t>
      </w:r>
      <w:r w:rsidRPr="00183207">
        <w:rPr>
          <w:sz w:val="20"/>
          <w:szCs w:val="20"/>
          <w:lang w:val="en-US"/>
        </w:rPr>
        <w:t xml:space="preserve"> low vision)</w:t>
      </w:r>
      <w:r w:rsidR="0075496F" w:rsidRPr="00183207">
        <w:rPr>
          <w:sz w:val="20"/>
          <w:szCs w:val="20"/>
          <w:lang w:val="en-US"/>
        </w:rPr>
        <w:t xml:space="preserve">.  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r w:rsidRPr="00183207">
        <w:rPr>
          <w:sz w:val="20"/>
          <w:szCs w:val="20"/>
          <w:lang w:val="en-US"/>
        </w:rPr>
        <w:t>Klinkosz</w:t>
      </w:r>
      <w:proofErr w:type="spellEnd"/>
      <w:r w:rsidRPr="00183207">
        <w:rPr>
          <w:sz w:val="20"/>
          <w:szCs w:val="20"/>
          <w:lang w:val="en-US"/>
        </w:rPr>
        <w:t xml:space="preserve">, </w:t>
      </w:r>
      <w:proofErr w:type="spellStart"/>
      <w:r w:rsidRPr="00183207">
        <w:rPr>
          <w:sz w:val="20"/>
          <w:szCs w:val="20"/>
          <w:lang w:val="en-US"/>
        </w:rPr>
        <w:t>Sekowski</w:t>
      </w:r>
      <w:proofErr w:type="spellEnd"/>
      <w:r w:rsidRPr="00183207">
        <w:rPr>
          <w:sz w:val="20"/>
          <w:szCs w:val="20"/>
          <w:lang w:val="en-US"/>
        </w:rPr>
        <w:t xml:space="preserve"> and </w:t>
      </w:r>
      <w:proofErr w:type="spellStart"/>
      <w:r w:rsidRPr="00183207">
        <w:rPr>
          <w:sz w:val="20"/>
          <w:szCs w:val="20"/>
          <w:lang w:val="en-US"/>
        </w:rPr>
        <w:t>Brambring</w:t>
      </w:r>
      <w:proofErr w:type="spellEnd"/>
      <w:r w:rsidRPr="00183207">
        <w:rPr>
          <w:sz w:val="20"/>
          <w:szCs w:val="20"/>
          <w:lang w:val="en-US"/>
        </w:rPr>
        <w:t xml:space="preserve"> (2006) used the Polish version of the NEO-FFI Personality Inventory (a sort version of the NEO PI-R) in order to evaluate Polish university students with visual impairments (blind</w:t>
      </w:r>
      <w:r w:rsidR="001E7EEF" w:rsidRPr="00183207">
        <w:rPr>
          <w:sz w:val="20"/>
          <w:szCs w:val="20"/>
          <w:lang w:val="en-US"/>
        </w:rPr>
        <w:t>ness and</w:t>
      </w:r>
      <w:r w:rsidRPr="00183207">
        <w:rPr>
          <w:sz w:val="20"/>
          <w:szCs w:val="20"/>
          <w:lang w:val="en-US"/>
        </w:rPr>
        <w:t xml:space="preserve"> low vision)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The purpose of the study was to examine if there is any correlation between academic achievements and personality traits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The analysis showed that the female students</w:t>
      </w:r>
      <w:r w:rsidR="00E83B93" w:rsidRPr="00183207">
        <w:rPr>
          <w:sz w:val="20"/>
          <w:szCs w:val="20"/>
          <w:lang w:val="en-US"/>
        </w:rPr>
        <w:t xml:space="preserve"> with visual impairments</w:t>
      </w:r>
      <w:r w:rsidRPr="00183207">
        <w:rPr>
          <w:sz w:val="20"/>
          <w:szCs w:val="20"/>
          <w:lang w:val="en-US"/>
        </w:rPr>
        <w:t xml:space="preserve"> </w:t>
      </w:r>
      <w:r w:rsidR="00D943F3" w:rsidRPr="00183207">
        <w:rPr>
          <w:sz w:val="20"/>
          <w:szCs w:val="20"/>
          <w:lang w:val="en-US"/>
        </w:rPr>
        <w:t xml:space="preserve">had </w:t>
      </w:r>
      <w:r w:rsidRPr="00183207">
        <w:rPr>
          <w:sz w:val="20"/>
          <w:szCs w:val="20"/>
          <w:lang w:val="en-US"/>
        </w:rPr>
        <w:t xml:space="preserve">less neuroticism and </w:t>
      </w:r>
      <w:r w:rsidR="00D943F3" w:rsidRPr="00183207">
        <w:rPr>
          <w:sz w:val="20"/>
          <w:szCs w:val="20"/>
          <w:lang w:val="en-US"/>
        </w:rPr>
        <w:t>higher</w:t>
      </w:r>
      <w:r w:rsidRPr="00183207">
        <w:rPr>
          <w:sz w:val="20"/>
          <w:szCs w:val="20"/>
          <w:lang w:val="en-US"/>
        </w:rPr>
        <w:t xml:space="preserve"> score in the other 4 scales of the NEO-FFI (Extraversion, Openness, </w:t>
      </w:r>
      <w:r w:rsidRPr="00183207">
        <w:rPr>
          <w:sz w:val="20"/>
          <w:szCs w:val="20"/>
          <w:lang w:val="en-US" w:eastAsia="en-US"/>
        </w:rPr>
        <w:t>Agreeableness</w:t>
      </w:r>
      <w:r w:rsidRPr="00183207">
        <w:rPr>
          <w:sz w:val="20"/>
          <w:szCs w:val="20"/>
          <w:lang w:val="en-US"/>
        </w:rPr>
        <w:t xml:space="preserve">, </w:t>
      </w:r>
      <w:proofErr w:type="gramStart"/>
      <w:r w:rsidRPr="00183207">
        <w:rPr>
          <w:sz w:val="20"/>
          <w:szCs w:val="20"/>
          <w:lang w:val="en-US" w:eastAsia="en-US"/>
        </w:rPr>
        <w:t>Conscientiousness</w:t>
      </w:r>
      <w:proofErr w:type="gramEnd"/>
      <w:r w:rsidRPr="00183207">
        <w:rPr>
          <w:sz w:val="20"/>
          <w:szCs w:val="20"/>
          <w:lang w:val="en-US"/>
        </w:rPr>
        <w:t>)</w:t>
      </w:r>
      <w:r w:rsidR="0075246C" w:rsidRPr="00183207">
        <w:rPr>
          <w:sz w:val="20"/>
          <w:szCs w:val="20"/>
          <w:lang w:val="en-US"/>
        </w:rPr>
        <w:t xml:space="preserve"> </w:t>
      </w:r>
      <w:r w:rsidR="00D943F3" w:rsidRPr="00183207">
        <w:rPr>
          <w:sz w:val="20"/>
          <w:szCs w:val="20"/>
          <w:lang w:val="en-US"/>
        </w:rPr>
        <w:t>compared to female students of the sighted control group</w:t>
      </w:r>
      <w:r w:rsidR="0075496F" w:rsidRPr="00183207">
        <w:rPr>
          <w:sz w:val="20"/>
          <w:szCs w:val="20"/>
          <w:lang w:val="en-US"/>
        </w:rPr>
        <w:t xml:space="preserve">.  </w:t>
      </w:r>
      <w:r w:rsidR="00D943F3" w:rsidRPr="00183207">
        <w:rPr>
          <w:sz w:val="20"/>
          <w:szCs w:val="20"/>
          <w:lang w:val="en-US"/>
        </w:rPr>
        <w:t>T</w:t>
      </w:r>
      <w:r w:rsidR="0075246C" w:rsidRPr="00183207">
        <w:rPr>
          <w:sz w:val="20"/>
          <w:szCs w:val="20"/>
          <w:lang w:val="en-US"/>
        </w:rPr>
        <w:t xml:space="preserve">he males </w:t>
      </w:r>
      <w:r w:rsidR="00E83B93" w:rsidRPr="00183207">
        <w:rPr>
          <w:sz w:val="20"/>
          <w:szCs w:val="20"/>
          <w:lang w:val="en-US"/>
        </w:rPr>
        <w:t xml:space="preserve">with visual impairments </w:t>
      </w:r>
      <w:r w:rsidR="001E7EEF" w:rsidRPr="00183207">
        <w:rPr>
          <w:sz w:val="20"/>
          <w:szCs w:val="20"/>
          <w:lang w:val="en-US"/>
        </w:rPr>
        <w:t xml:space="preserve">– especially the </w:t>
      </w:r>
      <w:r w:rsidR="0075246C" w:rsidRPr="00183207">
        <w:rPr>
          <w:sz w:val="20"/>
          <w:szCs w:val="20"/>
          <w:lang w:val="en-US"/>
        </w:rPr>
        <w:t xml:space="preserve">participants </w:t>
      </w:r>
      <w:r w:rsidR="001E7EEF" w:rsidRPr="00183207">
        <w:rPr>
          <w:sz w:val="20"/>
          <w:szCs w:val="20"/>
          <w:lang w:val="en-US"/>
        </w:rPr>
        <w:t xml:space="preserve">with blindness </w:t>
      </w:r>
      <w:r w:rsidR="0075246C" w:rsidRPr="00183207">
        <w:rPr>
          <w:sz w:val="20"/>
          <w:szCs w:val="20"/>
          <w:lang w:val="en-US"/>
        </w:rPr>
        <w:t xml:space="preserve">– had, in most cases, </w:t>
      </w:r>
      <w:r w:rsidR="00D943F3" w:rsidRPr="00183207">
        <w:rPr>
          <w:sz w:val="20"/>
          <w:szCs w:val="20"/>
          <w:lang w:val="en-US"/>
        </w:rPr>
        <w:t xml:space="preserve">higher </w:t>
      </w:r>
      <w:r w:rsidR="0075246C" w:rsidRPr="00183207">
        <w:rPr>
          <w:sz w:val="20"/>
          <w:szCs w:val="20"/>
          <w:lang w:val="en-US"/>
        </w:rPr>
        <w:t>scores than their sighted peers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In t</w:t>
      </w:r>
      <w:r w:rsidR="001E7EEF" w:rsidRPr="00183207">
        <w:rPr>
          <w:sz w:val="20"/>
          <w:szCs w:val="20"/>
          <w:lang w:val="en-US"/>
        </w:rPr>
        <w:t xml:space="preserve">he extraversion scale the </w:t>
      </w:r>
      <w:r w:rsidRPr="00183207">
        <w:rPr>
          <w:sz w:val="20"/>
          <w:szCs w:val="20"/>
          <w:lang w:val="en-US"/>
        </w:rPr>
        <w:t xml:space="preserve">students </w:t>
      </w:r>
      <w:r w:rsidR="001E7EEF" w:rsidRPr="00183207">
        <w:rPr>
          <w:sz w:val="20"/>
          <w:szCs w:val="20"/>
          <w:lang w:val="en-US"/>
        </w:rPr>
        <w:t xml:space="preserve">with blindness </w:t>
      </w:r>
      <w:r w:rsidR="0075246C" w:rsidRPr="00183207">
        <w:rPr>
          <w:sz w:val="20"/>
          <w:szCs w:val="20"/>
          <w:lang w:val="en-US"/>
        </w:rPr>
        <w:t xml:space="preserve">(males and females) </w:t>
      </w:r>
      <w:r w:rsidRPr="00183207">
        <w:rPr>
          <w:sz w:val="20"/>
          <w:szCs w:val="20"/>
          <w:lang w:val="en-US"/>
        </w:rPr>
        <w:t xml:space="preserve">had </w:t>
      </w:r>
      <w:r w:rsidR="0040398D" w:rsidRPr="00183207">
        <w:rPr>
          <w:sz w:val="20"/>
          <w:szCs w:val="20"/>
          <w:lang w:val="en-US"/>
        </w:rPr>
        <w:t>a significantly higher score</w:t>
      </w:r>
      <w:r w:rsidRPr="00183207">
        <w:rPr>
          <w:sz w:val="20"/>
          <w:szCs w:val="20"/>
          <w:lang w:val="en-US"/>
        </w:rPr>
        <w:t xml:space="preserve"> in comparison to both the sighted students and the </w:t>
      </w:r>
      <w:r w:rsidR="00795349" w:rsidRPr="00183207">
        <w:rPr>
          <w:sz w:val="20"/>
          <w:szCs w:val="20"/>
          <w:lang w:val="en-US"/>
        </w:rPr>
        <w:t>students with low vision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In the scal</w:t>
      </w:r>
      <w:r w:rsidR="0075246C" w:rsidRPr="00183207">
        <w:rPr>
          <w:sz w:val="20"/>
          <w:szCs w:val="20"/>
          <w:lang w:val="en-US"/>
        </w:rPr>
        <w:t>e regarding neuroticism, males</w:t>
      </w:r>
      <w:r w:rsidR="00F65256" w:rsidRPr="00183207">
        <w:rPr>
          <w:sz w:val="20"/>
          <w:szCs w:val="20"/>
          <w:lang w:val="en-US"/>
        </w:rPr>
        <w:t xml:space="preserve"> (</w:t>
      </w:r>
      <w:r w:rsidR="00E83B93" w:rsidRPr="00183207">
        <w:rPr>
          <w:sz w:val="20"/>
          <w:szCs w:val="20"/>
          <w:lang w:val="en-US"/>
        </w:rPr>
        <w:t>with or without visual impairments</w:t>
      </w:r>
      <w:r w:rsidR="00F65256" w:rsidRPr="00183207">
        <w:rPr>
          <w:sz w:val="20"/>
          <w:szCs w:val="20"/>
          <w:lang w:val="en-US"/>
        </w:rPr>
        <w:t>)</w:t>
      </w:r>
      <w:r w:rsidRPr="00183207">
        <w:rPr>
          <w:sz w:val="20"/>
          <w:szCs w:val="20"/>
          <w:lang w:val="en-US"/>
        </w:rPr>
        <w:t xml:space="preserve"> had a notic</w:t>
      </w:r>
      <w:r w:rsidR="0075246C" w:rsidRPr="00183207">
        <w:rPr>
          <w:sz w:val="20"/>
          <w:szCs w:val="20"/>
          <w:lang w:val="en-US"/>
        </w:rPr>
        <w:t>eably lower score than females, but the latter had a better score in all the other scales than the former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The ability to see or not did not i</w:t>
      </w:r>
      <w:r w:rsidR="0075246C" w:rsidRPr="00183207">
        <w:rPr>
          <w:sz w:val="20"/>
          <w:szCs w:val="20"/>
          <w:lang w:val="en-US"/>
        </w:rPr>
        <w:t>nfluence the score on the neuroticism scale</w:t>
      </w:r>
      <w:r w:rsidRPr="00183207">
        <w:rPr>
          <w:sz w:val="20"/>
          <w:szCs w:val="20"/>
          <w:lang w:val="en-US"/>
        </w:rPr>
        <w:t>.</w:t>
      </w:r>
    </w:p>
    <w:p w:rsidR="00183207" w:rsidRDefault="00183207" w:rsidP="00183207">
      <w:pPr>
        <w:jc w:val="both"/>
        <w:rPr>
          <w:sz w:val="20"/>
          <w:szCs w:val="20"/>
          <w:lang w:val="en-US" w:eastAsia="en-US"/>
        </w:rPr>
      </w:pPr>
    </w:p>
    <w:p w:rsidR="007F7A8D" w:rsidRPr="00183207" w:rsidRDefault="000346DC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 w:eastAsia="en-US"/>
        </w:rPr>
        <w:t xml:space="preserve">The </w:t>
      </w:r>
      <w:r w:rsidR="007F7A8D" w:rsidRPr="00183207">
        <w:rPr>
          <w:sz w:val="20"/>
          <w:szCs w:val="20"/>
          <w:lang w:val="en-US" w:eastAsia="en-US"/>
        </w:rPr>
        <w:t xml:space="preserve">use of the </w:t>
      </w:r>
      <w:proofErr w:type="spell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 xml:space="preserve"> Personality Questionnaire (EPQ) </w:t>
      </w:r>
      <w:r w:rsidR="001E7EEF" w:rsidRPr="00183207">
        <w:rPr>
          <w:sz w:val="20"/>
          <w:szCs w:val="20"/>
          <w:lang w:val="en-US" w:eastAsia="en-US"/>
        </w:rPr>
        <w:t>in</w:t>
      </w:r>
      <w:r w:rsidRPr="00183207">
        <w:rPr>
          <w:sz w:val="20"/>
          <w:szCs w:val="20"/>
          <w:lang w:val="en-US" w:eastAsia="en-US"/>
        </w:rPr>
        <w:t xml:space="preserve"> </w:t>
      </w:r>
      <w:r w:rsidR="007F7A8D" w:rsidRPr="00183207">
        <w:rPr>
          <w:sz w:val="20"/>
          <w:szCs w:val="20"/>
          <w:lang w:val="en-US" w:eastAsia="en-US"/>
        </w:rPr>
        <w:t>sighted individuals revealed the influence of age and gender in personality traits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="007F7A8D" w:rsidRPr="00183207">
        <w:rPr>
          <w:sz w:val="20"/>
          <w:szCs w:val="20"/>
          <w:lang w:val="en-US" w:eastAsia="en-US"/>
        </w:rPr>
        <w:t>Lynn and Martin (1997) examined gender differences in Neuroticism (N), Extraversion (E), and Psychoticism (P) in 37 countries using EPQ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="007F7A8D" w:rsidRPr="00183207">
        <w:rPr>
          <w:sz w:val="20"/>
          <w:szCs w:val="20"/>
          <w:lang w:val="en-US" w:eastAsia="en-US"/>
        </w:rPr>
        <w:t>They found that men were consistently lower than women in N and generally higher on P and E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="007F7A8D" w:rsidRPr="00183207">
        <w:rPr>
          <w:sz w:val="20"/>
          <w:szCs w:val="20"/>
          <w:lang w:val="en-US"/>
        </w:rPr>
        <w:t>McCrae and his colleagues (2004) detected a negative correlation between age and extraversion as well as a negative correlation between age and neuroticism, using NEO-PI-R</w:t>
      </w:r>
      <w:r w:rsidR="0075496F" w:rsidRPr="00183207">
        <w:rPr>
          <w:sz w:val="20"/>
          <w:szCs w:val="20"/>
          <w:lang w:val="en-US"/>
        </w:rPr>
        <w:t xml:space="preserve">.  </w:t>
      </w:r>
      <w:r w:rsidR="007F7A8D" w:rsidRPr="00183207">
        <w:rPr>
          <w:sz w:val="20"/>
          <w:szCs w:val="20"/>
          <w:lang w:val="en-US"/>
        </w:rPr>
        <w:t xml:space="preserve">Furthermore, age is negative correlated with the psychoticism scale of EPQR-A (the Revised and Abbreviated form of EPQ) (Gibson, </w:t>
      </w:r>
      <w:proofErr w:type="spellStart"/>
      <w:r w:rsidR="007F7A8D" w:rsidRPr="00183207">
        <w:rPr>
          <w:sz w:val="20"/>
          <w:szCs w:val="20"/>
          <w:lang w:val="en-US"/>
        </w:rPr>
        <w:t>McKelvie</w:t>
      </w:r>
      <w:proofErr w:type="spellEnd"/>
      <w:r w:rsidR="007F7A8D" w:rsidRPr="00183207">
        <w:rPr>
          <w:sz w:val="20"/>
          <w:szCs w:val="20"/>
          <w:lang w:val="en-US"/>
        </w:rPr>
        <w:t xml:space="preserve">, &amp; </w:t>
      </w:r>
      <w:proofErr w:type="spellStart"/>
      <w:r w:rsidR="007F7A8D" w:rsidRPr="00183207">
        <w:rPr>
          <w:sz w:val="20"/>
          <w:szCs w:val="20"/>
          <w:lang w:val="en-US"/>
        </w:rPr>
        <w:t>DeMan</w:t>
      </w:r>
      <w:proofErr w:type="spellEnd"/>
      <w:r w:rsidR="007F7A8D" w:rsidRPr="00183207">
        <w:rPr>
          <w:sz w:val="20"/>
          <w:szCs w:val="20"/>
          <w:lang w:val="en-US"/>
        </w:rPr>
        <w:t>, 2008).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8C6DCB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r w:rsidRPr="00183207">
        <w:rPr>
          <w:sz w:val="20"/>
          <w:szCs w:val="20"/>
          <w:lang w:val="en-US"/>
        </w:rPr>
        <w:t>Alexopoulos</w:t>
      </w:r>
      <w:proofErr w:type="spellEnd"/>
      <w:r w:rsidRPr="00183207">
        <w:rPr>
          <w:sz w:val="20"/>
          <w:szCs w:val="20"/>
          <w:lang w:val="en-US"/>
        </w:rPr>
        <w:t xml:space="preserve"> &amp; </w:t>
      </w:r>
      <w:proofErr w:type="spellStart"/>
      <w:r w:rsidRPr="00183207">
        <w:rPr>
          <w:sz w:val="20"/>
          <w:szCs w:val="20"/>
          <w:lang w:val="en-US"/>
        </w:rPr>
        <w:t>Kalaitzidis</w:t>
      </w:r>
      <w:proofErr w:type="spellEnd"/>
      <w:r w:rsidRPr="00183207">
        <w:rPr>
          <w:sz w:val="20"/>
          <w:szCs w:val="20"/>
          <w:lang w:val="en-US"/>
        </w:rPr>
        <w:t xml:space="preserve"> (2004) conducted a study amongst the Greek population (a sample group of 946 sighted individuals), aged 16-73 (mean = 19.71) for which the EPQ-R (short scale) was used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The majority of the participants were high school and university students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 xml:space="preserve">The </w:t>
      </w:r>
      <w:r w:rsidRPr="00183207">
        <w:rPr>
          <w:sz w:val="20"/>
          <w:szCs w:val="20"/>
          <w:lang w:val="en-GB"/>
        </w:rPr>
        <w:t xml:space="preserve">mean scores </w:t>
      </w:r>
      <w:r w:rsidRPr="00183207">
        <w:rPr>
          <w:sz w:val="20"/>
          <w:szCs w:val="20"/>
          <w:lang w:val="en-US"/>
        </w:rPr>
        <w:t xml:space="preserve">in the four scales (Extraversion, Neuroticism, Psychoticism and Lie) were the follows: </w:t>
      </w:r>
      <w:r w:rsidRPr="00183207">
        <w:rPr>
          <w:i/>
          <w:sz w:val="20"/>
          <w:szCs w:val="20"/>
          <w:lang w:val="en-US"/>
        </w:rPr>
        <w:t>E =</w:t>
      </w:r>
      <w:r w:rsidRPr="00183207">
        <w:rPr>
          <w:sz w:val="20"/>
          <w:szCs w:val="20"/>
          <w:lang w:val="en-US"/>
        </w:rPr>
        <w:t xml:space="preserve"> 8.85, </w:t>
      </w:r>
      <w:r w:rsidRPr="00183207">
        <w:rPr>
          <w:i/>
          <w:sz w:val="20"/>
          <w:szCs w:val="20"/>
          <w:lang w:val="en-US"/>
        </w:rPr>
        <w:t>N =</w:t>
      </w:r>
      <w:r w:rsidRPr="00183207">
        <w:rPr>
          <w:sz w:val="20"/>
          <w:szCs w:val="20"/>
          <w:lang w:val="en-US"/>
        </w:rPr>
        <w:t xml:space="preserve"> 6.75, </w:t>
      </w:r>
      <w:r w:rsidRPr="00183207">
        <w:rPr>
          <w:i/>
          <w:sz w:val="20"/>
          <w:szCs w:val="20"/>
          <w:lang w:val="en-US"/>
        </w:rPr>
        <w:t>P =</w:t>
      </w:r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2.75,</w:t>
      </w:r>
      <w:proofErr w:type="gramEnd"/>
      <w:r w:rsidRPr="00183207">
        <w:rPr>
          <w:sz w:val="20"/>
          <w:szCs w:val="20"/>
          <w:lang w:val="en-US"/>
        </w:rPr>
        <w:t xml:space="preserve"> and </w:t>
      </w:r>
      <w:r w:rsidRPr="00183207">
        <w:rPr>
          <w:i/>
          <w:sz w:val="20"/>
          <w:szCs w:val="20"/>
          <w:lang w:val="en-US"/>
        </w:rPr>
        <w:t xml:space="preserve">L = </w:t>
      </w:r>
      <w:r w:rsidR="007F7A8D" w:rsidRPr="00183207">
        <w:rPr>
          <w:sz w:val="20"/>
          <w:szCs w:val="20"/>
          <w:lang w:val="en-US"/>
        </w:rPr>
        <w:t>5.33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The men have a considerably higher score than the women on the Psychoticism scale (P) as well as on the Introversion/Extraversion scale (E)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On the other hand, the women have a higher score on the Neuroticism scale (N) and the Lie scale (L)</w:t>
      </w:r>
      <w:r w:rsidR="0075496F" w:rsidRPr="00183207">
        <w:rPr>
          <w:sz w:val="20"/>
          <w:szCs w:val="20"/>
          <w:lang w:val="en-US"/>
        </w:rPr>
        <w:t xml:space="preserve">.  </w:t>
      </w:r>
    </w:p>
    <w:p w:rsidR="00183207" w:rsidRDefault="00183207" w:rsidP="00183207">
      <w:pPr>
        <w:jc w:val="both"/>
        <w:rPr>
          <w:b/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i/>
          <w:sz w:val="20"/>
          <w:szCs w:val="20"/>
          <w:lang w:val="en-US"/>
        </w:rPr>
      </w:pPr>
      <w:r w:rsidRPr="00183207">
        <w:rPr>
          <w:i/>
          <w:sz w:val="20"/>
          <w:szCs w:val="20"/>
          <w:lang w:val="en-US"/>
        </w:rPr>
        <w:lastRenderedPageBreak/>
        <w:t>Study</w:t>
      </w:r>
    </w:p>
    <w:p w:rsidR="009A4CE9" w:rsidRPr="00183207" w:rsidRDefault="009A4CE9" w:rsidP="00183207">
      <w:pPr>
        <w:jc w:val="both"/>
        <w:rPr>
          <w:bCs/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The research presented in this article focuses on: a) investigation of possible differences in the personality traits amongst sighted adults and adults with visual impairments and b) investigation of possible relations</w:t>
      </w:r>
      <w:r w:rsidR="00501FB0" w:rsidRPr="00183207">
        <w:rPr>
          <w:sz w:val="20"/>
          <w:szCs w:val="20"/>
          <w:lang w:val="en-US"/>
        </w:rPr>
        <w:t>hips</w:t>
      </w:r>
      <w:r w:rsidRPr="00183207">
        <w:rPr>
          <w:sz w:val="20"/>
          <w:szCs w:val="20"/>
          <w:lang w:val="en-US"/>
        </w:rPr>
        <w:t xml:space="preserve"> between the personality traits of adults </w:t>
      </w:r>
      <w:r w:rsidR="00E83B93" w:rsidRPr="00183207">
        <w:rPr>
          <w:sz w:val="20"/>
          <w:szCs w:val="20"/>
          <w:lang w:val="en-US"/>
        </w:rPr>
        <w:t xml:space="preserve">with visual impairments </w:t>
      </w:r>
      <w:r w:rsidR="00D92073" w:rsidRPr="00183207">
        <w:rPr>
          <w:sz w:val="20"/>
          <w:szCs w:val="20"/>
          <w:lang w:val="en-US"/>
        </w:rPr>
        <w:t xml:space="preserve">and </w:t>
      </w:r>
      <w:r w:rsidRPr="00183207">
        <w:rPr>
          <w:sz w:val="20"/>
          <w:szCs w:val="20"/>
          <w:lang w:val="en-US"/>
        </w:rPr>
        <w:t xml:space="preserve">their vision status (blindness </w:t>
      </w:r>
      <w:r w:rsidR="00501FB0" w:rsidRPr="00183207">
        <w:rPr>
          <w:sz w:val="20"/>
          <w:szCs w:val="20"/>
          <w:lang w:val="en-US"/>
        </w:rPr>
        <w:t>vs.</w:t>
      </w:r>
      <w:r w:rsidRPr="00183207">
        <w:rPr>
          <w:sz w:val="20"/>
          <w:szCs w:val="20"/>
          <w:lang w:val="en-US"/>
        </w:rPr>
        <w:t xml:space="preserve"> low vision), </w:t>
      </w:r>
      <w:r w:rsidR="00306922" w:rsidRPr="00183207">
        <w:rPr>
          <w:sz w:val="20"/>
          <w:szCs w:val="20"/>
          <w:lang w:val="en-US"/>
        </w:rPr>
        <w:t xml:space="preserve">age, </w:t>
      </w:r>
      <w:r w:rsidRPr="00183207">
        <w:rPr>
          <w:sz w:val="20"/>
          <w:szCs w:val="20"/>
          <w:lang w:val="en-US"/>
        </w:rPr>
        <w:t xml:space="preserve">gender, </w:t>
      </w:r>
      <w:r w:rsidR="005F6171" w:rsidRPr="00183207">
        <w:rPr>
          <w:sz w:val="20"/>
          <w:szCs w:val="20"/>
          <w:lang w:val="en-US"/>
        </w:rPr>
        <w:t>and how recently the visual impairment occurred</w:t>
      </w:r>
      <w:r w:rsidR="0075496F" w:rsidRPr="00183207">
        <w:rPr>
          <w:sz w:val="20"/>
          <w:szCs w:val="20"/>
          <w:lang w:val="en-US"/>
        </w:rPr>
        <w:t xml:space="preserve">.  </w:t>
      </w:r>
      <w:r w:rsidR="00961914" w:rsidRPr="00183207">
        <w:rPr>
          <w:sz w:val="20"/>
          <w:szCs w:val="20"/>
          <w:lang w:val="en-US"/>
        </w:rPr>
        <w:t>Taking the genetic base of the personality traits described through EPQ-R into consideration, we hypothesized that there would not be significant (if any at all) difference between adults</w:t>
      </w:r>
      <w:r w:rsidR="00E83B93" w:rsidRPr="00183207">
        <w:rPr>
          <w:sz w:val="20"/>
          <w:szCs w:val="20"/>
          <w:lang w:val="en-US"/>
        </w:rPr>
        <w:t xml:space="preserve"> with visual impairments and </w:t>
      </w:r>
      <w:r w:rsidR="003A43F1" w:rsidRPr="00183207">
        <w:rPr>
          <w:sz w:val="20"/>
          <w:szCs w:val="20"/>
          <w:lang w:val="en-US"/>
        </w:rPr>
        <w:t xml:space="preserve">sighted </w:t>
      </w:r>
      <w:r w:rsidR="00E83B93" w:rsidRPr="00183207">
        <w:rPr>
          <w:sz w:val="20"/>
          <w:szCs w:val="20"/>
          <w:lang w:val="en-US"/>
        </w:rPr>
        <w:t>adults</w:t>
      </w:r>
      <w:r w:rsidR="0075496F" w:rsidRPr="00183207">
        <w:rPr>
          <w:sz w:val="20"/>
          <w:szCs w:val="20"/>
          <w:lang w:val="en-US"/>
        </w:rPr>
        <w:t xml:space="preserve">.  </w:t>
      </w:r>
      <w:r w:rsidR="00961914" w:rsidRPr="00183207">
        <w:rPr>
          <w:sz w:val="20"/>
          <w:szCs w:val="20"/>
          <w:lang w:val="en-US"/>
        </w:rPr>
        <w:t xml:space="preserve">We also hypothesized that males </w:t>
      </w:r>
      <w:r w:rsidR="00C26A7B" w:rsidRPr="00183207">
        <w:rPr>
          <w:sz w:val="20"/>
          <w:szCs w:val="20"/>
          <w:lang w:val="en-US"/>
        </w:rPr>
        <w:t xml:space="preserve">with visual impairments </w:t>
      </w:r>
      <w:r w:rsidR="00961914" w:rsidRPr="00183207">
        <w:rPr>
          <w:sz w:val="20"/>
          <w:szCs w:val="20"/>
          <w:lang w:val="en-US"/>
        </w:rPr>
        <w:t xml:space="preserve">would score lower in N scale and higher in P and E than females </w:t>
      </w:r>
      <w:r w:rsidR="00C26A7B" w:rsidRPr="00183207">
        <w:rPr>
          <w:sz w:val="20"/>
          <w:szCs w:val="20"/>
          <w:lang w:val="en-US"/>
        </w:rPr>
        <w:t xml:space="preserve">with visual impairments </w:t>
      </w:r>
      <w:r w:rsidR="00961914" w:rsidRPr="00183207">
        <w:rPr>
          <w:sz w:val="20"/>
          <w:szCs w:val="20"/>
          <w:lang w:val="en-US"/>
        </w:rPr>
        <w:t>and that age would be negative correlated with E, P and N.</w:t>
      </w:r>
    </w:p>
    <w:p w:rsidR="00183207" w:rsidRDefault="00183207" w:rsidP="00183207">
      <w:pPr>
        <w:jc w:val="both"/>
        <w:rPr>
          <w:b/>
          <w:sz w:val="20"/>
          <w:szCs w:val="20"/>
          <w:lang w:val="en-US"/>
        </w:rPr>
      </w:pPr>
    </w:p>
    <w:p w:rsidR="00464853" w:rsidRPr="00183207" w:rsidRDefault="009A4CE9" w:rsidP="00183207">
      <w:pPr>
        <w:jc w:val="both"/>
        <w:rPr>
          <w:b/>
          <w:sz w:val="20"/>
          <w:szCs w:val="20"/>
          <w:lang w:val="en-US"/>
        </w:rPr>
      </w:pPr>
      <w:r w:rsidRPr="00183207">
        <w:rPr>
          <w:b/>
          <w:sz w:val="20"/>
          <w:szCs w:val="20"/>
          <w:lang w:val="en-US"/>
        </w:rPr>
        <w:t>Method</w:t>
      </w:r>
    </w:p>
    <w:p w:rsidR="009A4CE9" w:rsidRPr="00183207" w:rsidRDefault="009A4CE9" w:rsidP="00183207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 w:rsidRPr="00183207">
        <w:rPr>
          <w:i/>
          <w:iCs/>
          <w:sz w:val="20"/>
          <w:szCs w:val="20"/>
          <w:lang w:val="en-US"/>
        </w:rPr>
        <w:t>Participants</w:t>
      </w:r>
    </w:p>
    <w:p w:rsidR="00906DAD" w:rsidRPr="00183207" w:rsidRDefault="00DE7867" w:rsidP="00183207">
      <w:pPr>
        <w:autoSpaceDE w:val="0"/>
        <w:autoSpaceDN w:val="0"/>
        <w:adjustRightInd w:val="0"/>
        <w:jc w:val="both"/>
        <w:rPr>
          <w:color w:val="FF0000"/>
          <w:sz w:val="20"/>
          <w:szCs w:val="20"/>
          <w:lang w:val="en-GB"/>
        </w:rPr>
      </w:pPr>
      <w:r w:rsidRPr="00183207">
        <w:rPr>
          <w:sz w:val="20"/>
          <w:szCs w:val="20"/>
          <w:lang w:val="en-US"/>
        </w:rPr>
        <w:t xml:space="preserve">Ninety </w:t>
      </w:r>
      <w:r w:rsidR="009A4CE9" w:rsidRPr="00183207">
        <w:rPr>
          <w:sz w:val="20"/>
          <w:szCs w:val="20"/>
          <w:lang w:val="en-US"/>
        </w:rPr>
        <w:t>adults with visual impairment</w:t>
      </w:r>
      <w:r w:rsidR="00F75AE5" w:rsidRPr="00183207">
        <w:rPr>
          <w:sz w:val="20"/>
          <w:szCs w:val="20"/>
          <w:lang w:val="en-US"/>
        </w:rPr>
        <w:t>s</w:t>
      </w:r>
      <w:r w:rsidR="009A4CE9" w:rsidRPr="00183207">
        <w:rPr>
          <w:sz w:val="20"/>
          <w:szCs w:val="20"/>
          <w:lang w:val="en-US"/>
        </w:rPr>
        <w:t xml:space="preserve"> (blind</w:t>
      </w:r>
      <w:r w:rsidR="001E7EEF" w:rsidRPr="00183207">
        <w:rPr>
          <w:sz w:val="20"/>
          <w:szCs w:val="20"/>
          <w:lang w:val="en-US"/>
        </w:rPr>
        <w:t>ness or</w:t>
      </w:r>
      <w:r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 xml:space="preserve">low vision) and </w:t>
      </w:r>
      <w:r w:rsidRPr="00183207">
        <w:rPr>
          <w:sz w:val="20"/>
          <w:szCs w:val="20"/>
          <w:lang w:val="en-US"/>
        </w:rPr>
        <w:t>70</w:t>
      </w:r>
      <w:r w:rsidR="009A4CE9" w:rsidRPr="00183207">
        <w:rPr>
          <w:sz w:val="20"/>
          <w:szCs w:val="20"/>
          <w:lang w:val="en-US"/>
        </w:rPr>
        <w:t xml:space="preserve"> sighted adults took part in the research</w:t>
      </w:r>
      <w:r w:rsidR="0075496F" w:rsidRPr="00183207">
        <w:rPr>
          <w:sz w:val="20"/>
          <w:szCs w:val="20"/>
          <w:lang w:val="en-US"/>
        </w:rPr>
        <w:t>.</w:t>
      </w:r>
      <w:r w:rsidR="00EB7DFC" w:rsidRPr="00183207">
        <w:rPr>
          <w:sz w:val="20"/>
          <w:szCs w:val="20"/>
          <w:lang w:val="en-US"/>
        </w:rPr>
        <w:t xml:space="preserve"> </w:t>
      </w:r>
      <w:r w:rsidR="00A74AFC" w:rsidRPr="00183207">
        <w:rPr>
          <w:sz w:val="20"/>
          <w:szCs w:val="20"/>
          <w:lang w:val="en-US"/>
        </w:rPr>
        <w:t>The participants with visual impairments were selected from the members of the</w:t>
      </w:r>
      <w:r w:rsidR="00D72D57" w:rsidRPr="00183207">
        <w:rPr>
          <w:sz w:val="20"/>
          <w:szCs w:val="20"/>
          <w:lang w:val="en-US"/>
        </w:rPr>
        <w:t xml:space="preserve"> </w:t>
      </w:r>
      <w:proofErr w:type="spellStart"/>
      <w:r w:rsidR="00A74AFC" w:rsidRPr="00183207">
        <w:rPr>
          <w:sz w:val="20"/>
          <w:szCs w:val="20"/>
          <w:lang w:val="en-US"/>
        </w:rPr>
        <w:t>Panhellenic</w:t>
      </w:r>
      <w:proofErr w:type="spellEnd"/>
      <w:r w:rsidR="00A74AFC" w:rsidRPr="00183207">
        <w:rPr>
          <w:sz w:val="20"/>
          <w:szCs w:val="20"/>
          <w:lang w:val="en-US"/>
        </w:rPr>
        <w:t xml:space="preserve"> Association of the Blind</w:t>
      </w:r>
      <w:r w:rsidR="0075496F" w:rsidRPr="00183207">
        <w:rPr>
          <w:sz w:val="20"/>
          <w:szCs w:val="20"/>
          <w:lang w:val="en-US"/>
        </w:rPr>
        <w:t xml:space="preserve">.  </w:t>
      </w:r>
      <w:r w:rsidR="00A74AFC" w:rsidRPr="00183207">
        <w:rPr>
          <w:sz w:val="20"/>
          <w:szCs w:val="20"/>
          <w:lang w:val="en-US"/>
        </w:rPr>
        <w:t xml:space="preserve">Initially, we contacted by phone a random selection of </w:t>
      </w:r>
      <w:r w:rsidR="008A305E" w:rsidRPr="00183207">
        <w:rPr>
          <w:sz w:val="20"/>
          <w:szCs w:val="20"/>
          <w:lang w:val="en-US"/>
        </w:rPr>
        <w:t>1</w:t>
      </w:r>
      <w:r w:rsidR="00E9713C" w:rsidRPr="00183207">
        <w:rPr>
          <w:sz w:val="20"/>
          <w:szCs w:val="20"/>
          <w:lang w:val="en-US"/>
        </w:rPr>
        <w:t>8</w:t>
      </w:r>
      <w:r w:rsidR="008A305E" w:rsidRPr="00183207">
        <w:rPr>
          <w:sz w:val="20"/>
          <w:szCs w:val="20"/>
          <w:lang w:val="en-US"/>
        </w:rPr>
        <w:t>0</w:t>
      </w:r>
      <w:r w:rsidR="00D72D57" w:rsidRPr="00183207">
        <w:rPr>
          <w:sz w:val="20"/>
          <w:szCs w:val="20"/>
          <w:lang w:val="en-US"/>
        </w:rPr>
        <w:t xml:space="preserve"> </w:t>
      </w:r>
      <w:r w:rsidR="00A74AFC" w:rsidRPr="00183207">
        <w:rPr>
          <w:sz w:val="20"/>
          <w:szCs w:val="20"/>
          <w:lang w:val="en-US"/>
        </w:rPr>
        <w:t xml:space="preserve">individuals with visual impairments </w:t>
      </w:r>
      <w:r w:rsidR="00D72D57" w:rsidRPr="00183207">
        <w:rPr>
          <w:sz w:val="20"/>
          <w:szCs w:val="20"/>
          <w:lang w:val="en-US"/>
        </w:rPr>
        <w:t>(</w:t>
      </w:r>
      <w:r w:rsidR="00E9713C" w:rsidRPr="00183207">
        <w:rPr>
          <w:sz w:val="20"/>
          <w:szCs w:val="20"/>
          <w:lang w:val="en-US"/>
        </w:rPr>
        <w:t>6</w:t>
      </w:r>
      <w:r w:rsidR="00D72D57" w:rsidRPr="00183207">
        <w:rPr>
          <w:sz w:val="20"/>
          <w:szCs w:val="20"/>
          <w:lang w:val="en-US"/>
        </w:rPr>
        <w:t xml:space="preserve">0 </w:t>
      </w:r>
      <w:r w:rsidR="00EE3977" w:rsidRPr="00183207">
        <w:rPr>
          <w:sz w:val="20"/>
          <w:szCs w:val="20"/>
          <w:lang w:val="en-US"/>
        </w:rPr>
        <w:t>individuals with blindness or severe visual impairments</w:t>
      </w:r>
      <w:r w:rsidR="00D72D57" w:rsidRPr="00183207">
        <w:rPr>
          <w:sz w:val="20"/>
          <w:szCs w:val="20"/>
          <w:lang w:val="en-US"/>
        </w:rPr>
        <w:t xml:space="preserve"> and </w:t>
      </w:r>
      <w:r w:rsidR="008A305E" w:rsidRPr="00183207">
        <w:rPr>
          <w:sz w:val="20"/>
          <w:szCs w:val="20"/>
          <w:lang w:val="en-US"/>
        </w:rPr>
        <w:t>1</w:t>
      </w:r>
      <w:r w:rsidR="00E9713C" w:rsidRPr="00183207">
        <w:rPr>
          <w:sz w:val="20"/>
          <w:szCs w:val="20"/>
          <w:lang w:val="en-US"/>
        </w:rPr>
        <w:t>2</w:t>
      </w:r>
      <w:r w:rsidR="00D72D57" w:rsidRPr="00183207">
        <w:rPr>
          <w:sz w:val="20"/>
          <w:szCs w:val="20"/>
          <w:lang w:val="en-US"/>
        </w:rPr>
        <w:t xml:space="preserve">0 individuals with low vision) </w:t>
      </w:r>
      <w:r w:rsidR="00A74AFC" w:rsidRPr="00183207">
        <w:rPr>
          <w:sz w:val="20"/>
          <w:szCs w:val="20"/>
          <w:lang w:val="en-US"/>
        </w:rPr>
        <w:t>in order to invite them to</w:t>
      </w:r>
      <w:r w:rsidR="000346DC" w:rsidRPr="00183207">
        <w:rPr>
          <w:sz w:val="20"/>
          <w:szCs w:val="20"/>
          <w:lang w:val="en-US"/>
        </w:rPr>
        <w:t xml:space="preserve"> participate in the study</w:t>
      </w:r>
      <w:r w:rsidR="0075496F" w:rsidRPr="00183207">
        <w:rPr>
          <w:sz w:val="20"/>
          <w:szCs w:val="20"/>
          <w:lang w:val="en-US"/>
        </w:rPr>
        <w:t xml:space="preserve">.  </w:t>
      </w:r>
      <w:r w:rsidR="000346DC" w:rsidRPr="00183207">
        <w:rPr>
          <w:sz w:val="20"/>
          <w:szCs w:val="20"/>
          <w:lang w:val="en-US"/>
        </w:rPr>
        <w:t xml:space="preserve">From the total of 180 invited participants, </w:t>
      </w:r>
      <w:r w:rsidR="007B6BE6" w:rsidRPr="00183207">
        <w:rPr>
          <w:sz w:val="20"/>
          <w:szCs w:val="20"/>
          <w:lang w:val="en-US"/>
        </w:rPr>
        <w:t>1</w:t>
      </w:r>
      <w:r w:rsidR="008A305E" w:rsidRPr="00183207">
        <w:rPr>
          <w:sz w:val="20"/>
          <w:szCs w:val="20"/>
          <w:lang w:val="en-US"/>
        </w:rPr>
        <w:t>10</w:t>
      </w:r>
      <w:r w:rsidR="00A74AFC" w:rsidRPr="00183207">
        <w:rPr>
          <w:sz w:val="20"/>
          <w:szCs w:val="20"/>
          <w:lang w:val="en-US"/>
        </w:rPr>
        <w:t xml:space="preserve"> individuals agreed </w:t>
      </w:r>
      <w:r w:rsidR="000346DC" w:rsidRPr="00183207">
        <w:rPr>
          <w:sz w:val="20"/>
          <w:szCs w:val="20"/>
          <w:lang w:val="en-US"/>
        </w:rPr>
        <w:t xml:space="preserve">finally </w:t>
      </w:r>
      <w:r w:rsidR="00A74AFC" w:rsidRPr="00183207">
        <w:rPr>
          <w:sz w:val="20"/>
          <w:szCs w:val="20"/>
          <w:lang w:val="en-US"/>
        </w:rPr>
        <w:t xml:space="preserve">to </w:t>
      </w:r>
      <w:r w:rsidR="00D72D57" w:rsidRPr="00183207">
        <w:rPr>
          <w:sz w:val="20"/>
          <w:szCs w:val="20"/>
          <w:lang w:val="en-US"/>
        </w:rPr>
        <w:t>participate</w:t>
      </w:r>
      <w:r w:rsidR="0075496F" w:rsidRPr="00183207">
        <w:rPr>
          <w:sz w:val="20"/>
          <w:szCs w:val="20"/>
          <w:lang w:val="en-US"/>
        </w:rPr>
        <w:t xml:space="preserve">.  </w:t>
      </w:r>
      <w:r w:rsidR="000346DC" w:rsidRPr="00183207">
        <w:rPr>
          <w:sz w:val="20"/>
          <w:szCs w:val="20"/>
          <w:lang w:val="en-US"/>
        </w:rPr>
        <w:t>However,</w:t>
      </w:r>
      <w:r w:rsidR="00837223" w:rsidRPr="00183207">
        <w:rPr>
          <w:sz w:val="20"/>
          <w:szCs w:val="20"/>
          <w:lang w:val="en-US"/>
        </w:rPr>
        <w:t xml:space="preserve"> the following</w:t>
      </w:r>
      <w:r w:rsidR="000101D5" w:rsidRPr="00183207">
        <w:rPr>
          <w:sz w:val="20"/>
          <w:szCs w:val="20"/>
          <w:lang w:val="en-US"/>
        </w:rPr>
        <w:t xml:space="preserve"> </w:t>
      </w:r>
      <w:r w:rsidR="000346DC" w:rsidRPr="00183207">
        <w:rPr>
          <w:sz w:val="20"/>
          <w:szCs w:val="20"/>
          <w:lang w:val="en-US"/>
        </w:rPr>
        <w:t>adjustments had to be made</w:t>
      </w:r>
      <w:r w:rsidR="007B6BE6" w:rsidRPr="00183207">
        <w:rPr>
          <w:sz w:val="20"/>
          <w:szCs w:val="20"/>
          <w:lang w:val="en-US"/>
        </w:rPr>
        <w:t>:</w:t>
      </w:r>
      <w:r w:rsidR="00837223" w:rsidRPr="00183207">
        <w:rPr>
          <w:sz w:val="20"/>
          <w:szCs w:val="20"/>
          <w:lang w:val="en-US"/>
        </w:rPr>
        <w:t xml:space="preserve"> a) the group of individuals who were blind</w:t>
      </w:r>
      <w:r w:rsidR="000346DC" w:rsidRPr="00183207">
        <w:rPr>
          <w:sz w:val="20"/>
          <w:szCs w:val="20"/>
          <w:lang w:val="en-US"/>
        </w:rPr>
        <w:t xml:space="preserve"> had to</w:t>
      </w:r>
      <w:r w:rsidR="00837223" w:rsidRPr="00183207">
        <w:rPr>
          <w:sz w:val="20"/>
          <w:szCs w:val="20"/>
          <w:lang w:val="en-US"/>
        </w:rPr>
        <w:t xml:space="preserve"> matc</w:t>
      </w:r>
      <w:r w:rsidR="000346DC" w:rsidRPr="00183207">
        <w:rPr>
          <w:sz w:val="20"/>
          <w:szCs w:val="20"/>
          <w:lang w:val="en-US"/>
        </w:rPr>
        <w:t>h</w:t>
      </w:r>
      <w:r w:rsidR="00837223" w:rsidRPr="00183207">
        <w:rPr>
          <w:sz w:val="20"/>
          <w:szCs w:val="20"/>
          <w:lang w:val="en-US"/>
        </w:rPr>
        <w:t xml:space="preserve"> with </w:t>
      </w:r>
      <w:r w:rsidR="000346DC" w:rsidRPr="00183207">
        <w:rPr>
          <w:sz w:val="20"/>
          <w:szCs w:val="20"/>
          <w:lang w:val="en-US"/>
        </w:rPr>
        <w:t xml:space="preserve">the </w:t>
      </w:r>
      <w:r w:rsidR="00837223" w:rsidRPr="00183207">
        <w:rPr>
          <w:sz w:val="20"/>
          <w:szCs w:val="20"/>
          <w:lang w:val="en-US"/>
        </w:rPr>
        <w:t>group of individuals with low vision in terms of age, and gender,</w:t>
      </w:r>
      <w:r w:rsidR="000101D5" w:rsidRPr="00183207">
        <w:rPr>
          <w:sz w:val="20"/>
          <w:szCs w:val="20"/>
          <w:lang w:val="en-US"/>
        </w:rPr>
        <w:t xml:space="preserve"> </w:t>
      </w:r>
      <w:r w:rsidR="00837223" w:rsidRPr="00183207">
        <w:rPr>
          <w:sz w:val="20"/>
          <w:szCs w:val="20"/>
          <w:lang w:val="en-US"/>
        </w:rPr>
        <w:t xml:space="preserve">and </w:t>
      </w:r>
      <w:r w:rsidR="000101D5" w:rsidRPr="00183207">
        <w:rPr>
          <w:sz w:val="20"/>
          <w:szCs w:val="20"/>
          <w:lang w:val="en-US"/>
        </w:rPr>
        <w:t>b</w:t>
      </w:r>
      <w:r w:rsidR="00837223" w:rsidRPr="00183207">
        <w:rPr>
          <w:sz w:val="20"/>
          <w:szCs w:val="20"/>
          <w:lang w:val="en-US"/>
        </w:rPr>
        <w:t>) participants with additional disabilities were excluded</w:t>
      </w:r>
      <w:r w:rsidR="0075496F" w:rsidRPr="00183207">
        <w:rPr>
          <w:sz w:val="20"/>
          <w:szCs w:val="20"/>
          <w:lang w:val="en-US"/>
        </w:rPr>
        <w:t xml:space="preserve">.  </w:t>
      </w:r>
      <w:r w:rsidR="000346DC" w:rsidRPr="00183207">
        <w:rPr>
          <w:sz w:val="20"/>
          <w:szCs w:val="20"/>
          <w:lang w:val="en-US"/>
        </w:rPr>
        <w:t xml:space="preserve">In the end, </w:t>
      </w:r>
      <w:r w:rsidR="008A305E" w:rsidRPr="00183207">
        <w:rPr>
          <w:sz w:val="20"/>
          <w:szCs w:val="20"/>
          <w:lang w:val="en-GB"/>
        </w:rPr>
        <w:t>30</w:t>
      </w:r>
      <w:r w:rsidR="007B6BE6" w:rsidRPr="00183207">
        <w:rPr>
          <w:sz w:val="20"/>
          <w:szCs w:val="20"/>
          <w:lang w:val="en-GB"/>
        </w:rPr>
        <w:t xml:space="preserve"> </w:t>
      </w:r>
      <w:r w:rsidR="000346DC" w:rsidRPr="00183207">
        <w:rPr>
          <w:sz w:val="20"/>
          <w:szCs w:val="20"/>
          <w:lang w:val="en-US"/>
        </w:rPr>
        <w:t>individuals with blindness</w:t>
      </w:r>
      <w:r w:rsidR="007B6BE6" w:rsidRPr="00183207">
        <w:rPr>
          <w:sz w:val="20"/>
          <w:szCs w:val="20"/>
          <w:lang w:val="en-GB"/>
        </w:rPr>
        <w:t xml:space="preserve"> </w:t>
      </w:r>
      <w:r w:rsidR="007B6BE6" w:rsidRPr="00183207">
        <w:rPr>
          <w:sz w:val="20"/>
          <w:szCs w:val="20"/>
          <w:lang w:val="en-US"/>
        </w:rPr>
        <w:t>and</w:t>
      </w:r>
      <w:r w:rsidR="007B6BE6" w:rsidRPr="00183207">
        <w:rPr>
          <w:sz w:val="20"/>
          <w:szCs w:val="20"/>
          <w:lang w:val="en-GB"/>
        </w:rPr>
        <w:t xml:space="preserve"> </w:t>
      </w:r>
      <w:r w:rsidR="008A305E" w:rsidRPr="00183207">
        <w:rPr>
          <w:sz w:val="20"/>
          <w:szCs w:val="20"/>
          <w:lang w:val="en-GB"/>
        </w:rPr>
        <w:t>60</w:t>
      </w:r>
      <w:r w:rsidR="007B6BE6" w:rsidRPr="00183207">
        <w:rPr>
          <w:sz w:val="20"/>
          <w:szCs w:val="20"/>
          <w:lang w:val="en-GB"/>
        </w:rPr>
        <w:t xml:space="preserve"> </w:t>
      </w:r>
      <w:r w:rsidR="007B6BE6" w:rsidRPr="00183207">
        <w:rPr>
          <w:sz w:val="20"/>
          <w:szCs w:val="20"/>
          <w:lang w:val="en-US"/>
        </w:rPr>
        <w:t>with</w:t>
      </w:r>
      <w:r w:rsidR="007B6BE6" w:rsidRPr="00183207">
        <w:rPr>
          <w:sz w:val="20"/>
          <w:szCs w:val="20"/>
          <w:lang w:val="en-GB"/>
        </w:rPr>
        <w:t xml:space="preserve"> </w:t>
      </w:r>
      <w:r w:rsidR="007B6BE6" w:rsidRPr="00183207">
        <w:rPr>
          <w:sz w:val="20"/>
          <w:szCs w:val="20"/>
          <w:lang w:val="en-US"/>
        </w:rPr>
        <w:t>low</w:t>
      </w:r>
      <w:r w:rsidR="007B6BE6" w:rsidRPr="00183207">
        <w:rPr>
          <w:sz w:val="20"/>
          <w:szCs w:val="20"/>
          <w:lang w:val="en-GB"/>
        </w:rPr>
        <w:t xml:space="preserve"> </w:t>
      </w:r>
      <w:r w:rsidR="007B6BE6" w:rsidRPr="00183207">
        <w:rPr>
          <w:sz w:val="20"/>
          <w:szCs w:val="20"/>
          <w:lang w:val="en-US"/>
        </w:rPr>
        <w:t>vision</w:t>
      </w:r>
      <w:r w:rsidR="000346DC" w:rsidRPr="00183207">
        <w:rPr>
          <w:sz w:val="20"/>
          <w:szCs w:val="20"/>
          <w:lang w:val="en-US"/>
        </w:rPr>
        <w:t xml:space="preserve"> participated in the present study</w:t>
      </w:r>
      <w:r w:rsidR="007B6BE6" w:rsidRPr="00183207">
        <w:rPr>
          <w:sz w:val="20"/>
          <w:szCs w:val="20"/>
          <w:lang w:val="en-GB"/>
        </w:rPr>
        <w:t>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9A4CE9" w:rsidRPr="00183207" w:rsidRDefault="00906DAD" w:rsidP="00183207">
      <w:pPr>
        <w:autoSpaceDE w:val="0"/>
        <w:autoSpaceDN w:val="0"/>
        <w:adjustRightInd w:val="0"/>
        <w:jc w:val="both"/>
        <w:rPr>
          <w:color w:val="4F81BD"/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 xml:space="preserve">The sighted participants were selected on the basis that they matched with the group of participants with visual impairments in terms </w:t>
      </w:r>
      <w:r w:rsidR="000350E6" w:rsidRPr="00183207">
        <w:rPr>
          <w:sz w:val="20"/>
          <w:szCs w:val="20"/>
          <w:lang w:val="en-US"/>
        </w:rPr>
        <w:t xml:space="preserve">of age </w:t>
      </w:r>
      <w:r w:rsidR="00837223" w:rsidRPr="00183207">
        <w:rPr>
          <w:sz w:val="20"/>
          <w:szCs w:val="20"/>
          <w:lang w:val="en-US"/>
        </w:rPr>
        <w:t>and gender</w:t>
      </w:r>
      <w:r w:rsidR="0075496F" w:rsidRPr="00183207">
        <w:rPr>
          <w:sz w:val="20"/>
          <w:szCs w:val="20"/>
          <w:lang w:val="en-US"/>
        </w:rPr>
        <w:t xml:space="preserve">.  </w:t>
      </w:r>
      <w:r w:rsidR="00E2358D" w:rsidRPr="00183207">
        <w:rPr>
          <w:sz w:val="20"/>
          <w:szCs w:val="20"/>
          <w:lang w:val="en-US"/>
        </w:rPr>
        <w:t xml:space="preserve">The sighted adults, 47 men and 23 women, </w:t>
      </w:r>
      <w:r w:rsidR="009A4CE9" w:rsidRPr="00183207">
        <w:rPr>
          <w:sz w:val="20"/>
          <w:szCs w:val="20"/>
          <w:lang w:val="en-US"/>
        </w:rPr>
        <w:t>were between the ages of 1</w:t>
      </w:r>
      <w:r w:rsidR="00E2358D" w:rsidRPr="00183207">
        <w:rPr>
          <w:sz w:val="20"/>
          <w:szCs w:val="20"/>
          <w:lang w:val="en-US"/>
        </w:rPr>
        <w:t>9</w:t>
      </w:r>
      <w:r w:rsidR="009A4CE9" w:rsidRPr="00183207">
        <w:rPr>
          <w:sz w:val="20"/>
          <w:szCs w:val="20"/>
          <w:lang w:val="en-US"/>
        </w:rPr>
        <w:t>-</w:t>
      </w:r>
      <w:r w:rsidR="00E2358D" w:rsidRPr="00183207">
        <w:rPr>
          <w:sz w:val="20"/>
          <w:szCs w:val="20"/>
          <w:lang w:val="en-US"/>
        </w:rPr>
        <w:t>54</w:t>
      </w:r>
      <w:r w:rsidR="009A4CE9" w:rsidRPr="00183207">
        <w:rPr>
          <w:sz w:val="20"/>
          <w:szCs w:val="20"/>
          <w:lang w:val="en-US"/>
        </w:rPr>
        <w:t xml:space="preserve"> (</w:t>
      </w:r>
      <w:r w:rsidR="001A1CD7" w:rsidRPr="00183207">
        <w:rPr>
          <w:i/>
          <w:sz w:val="20"/>
          <w:szCs w:val="20"/>
          <w:lang w:val="en-US"/>
        </w:rPr>
        <w:t>M</w:t>
      </w:r>
      <w:r w:rsidR="009A4CE9" w:rsidRPr="00183207">
        <w:rPr>
          <w:i/>
          <w:sz w:val="20"/>
          <w:szCs w:val="20"/>
          <w:lang w:val="en-US"/>
        </w:rPr>
        <w:t xml:space="preserve"> =</w:t>
      </w:r>
      <w:r w:rsidR="009A4CE9" w:rsidRPr="00183207">
        <w:rPr>
          <w:sz w:val="20"/>
          <w:szCs w:val="20"/>
          <w:lang w:val="en-US"/>
        </w:rPr>
        <w:t xml:space="preserve"> </w:t>
      </w:r>
      <w:r w:rsidR="00E2358D" w:rsidRPr="00183207">
        <w:rPr>
          <w:sz w:val="20"/>
          <w:szCs w:val="20"/>
          <w:lang w:val="en-US"/>
        </w:rPr>
        <w:t>30</w:t>
      </w:r>
      <w:r w:rsidR="009A4CE9" w:rsidRPr="00183207">
        <w:rPr>
          <w:sz w:val="20"/>
          <w:szCs w:val="20"/>
          <w:lang w:val="en-US"/>
        </w:rPr>
        <w:t>.</w:t>
      </w:r>
      <w:r w:rsidR="00E2358D" w:rsidRPr="00183207">
        <w:rPr>
          <w:sz w:val="20"/>
          <w:szCs w:val="20"/>
          <w:lang w:val="en-US"/>
        </w:rPr>
        <w:t>81</w:t>
      </w:r>
      <w:r w:rsidR="009A4CE9" w:rsidRPr="00183207">
        <w:rPr>
          <w:sz w:val="20"/>
          <w:szCs w:val="20"/>
          <w:lang w:val="en-US"/>
        </w:rPr>
        <w:t xml:space="preserve">, </w:t>
      </w:r>
      <w:r w:rsidR="009A4CE9" w:rsidRPr="00183207">
        <w:rPr>
          <w:i/>
          <w:sz w:val="20"/>
          <w:szCs w:val="20"/>
          <w:lang w:val="en-US"/>
        </w:rPr>
        <w:t>SD =</w:t>
      </w:r>
      <w:r w:rsidR="009A4CE9" w:rsidRPr="00183207">
        <w:rPr>
          <w:sz w:val="20"/>
          <w:szCs w:val="20"/>
          <w:lang w:val="en-US"/>
        </w:rPr>
        <w:t xml:space="preserve"> </w:t>
      </w:r>
      <w:r w:rsidR="00E2358D" w:rsidRPr="00183207">
        <w:rPr>
          <w:sz w:val="20"/>
          <w:szCs w:val="20"/>
          <w:lang w:val="en-US"/>
        </w:rPr>
        <w:t>9</w:t>
      </w:r>
      <w:r w:rsidR="009A4CE9" w:rsidRPr="00183207">
        <w:rPr>
          <w:sz w:val="20"/>
          <w:szCs w:val="20"/>
          <w:lang w:val="en-US"/>
        </w:rPr>
        <w:t>.</w:t>
      </w:r>
      <w:r w:rsidR="00E2358D" w:rsidRPr="00183207">
        <w:rPr>
          <w:sz w:val="20"/>
          <w:szCs w:val="20"/>
          <w:lang w:val="en-US"/>
        </w:rPr>
        <w:t>07)</w:t>
      </w:r>
      <w:r w:rsidR="0075496F" w:rsidRPr="00183207">
        <w:rPr>
          <w:sz w:val="20"/>
          <w:szCs w:val="20"/>
          <w:lang w:val="en-US"/>
        </w:rPr>
        <w:t xml:space="preserve">.  </w:t>
      </w:r>
      <w:r w:rsidR="009A4CE9" w:rsidRPr="00183207">
        <w:rPr>
          <w:sz w:val="20"/>
          <w:szCs w:val="20"/>
          <w:lang w:val="en-US"/>
        </w:rPr>
        <w:t>The participants with visual impairment</w:t>
      </w:r>
      <w:r w:rsidR="000E2AB0" w:rsidRPr="00183207">
        <w:rPr>
          <w:sz w:val="20"/>
          <w:szCs w:val="20"/>
          <w:lang w:val="en-US"/>
        </w:rPr>
        <w:t>s, 60 men and 30 women,</w:t>
      </w:r>
      <w:r w:rsidR="009A4CE9" w:rsidRPr="00183207">
        <w:rPr>
          <w:sz w:val="20"/>
          <w:szCs w:val="20"/>
          <w:lang w:val="en-US"/>
        </w:rPr>
        <w:t xml:space="preserve"> were aged 1</w:t>
      </w:r>
      <w:r w:rsidR="000E2AB0" w:rsidRPr="00183207">
        <w:rPr>
          <w:sz w:val="20"/>
          <w:szCs w:val="20"/>
          <w:lang w:val="en-US"/>
        </w:rPr>
        <w:t>9</w:t>
      </w:r>
      <w:r w:rsidR="009A4CE9" w:rsidRPr="00183207">
        <w:rPr>
          <w:sz w:val="20"/>
          <w:szCs w:val="20"/>
          <w:lang w:val="en-US"/>
        </w:rPr>
        <w:t>-5</w:t>
      </w:r>
      <w:r w:rsidR="000E2AB0" w:rsidRPr="00183207">
        <w:rPr>
          <w:sz w:val="20"/>
          <w:szCs w:val="20"/>
          <w:lang w:val="en-US"/>
        </w:rPr>
        <w:t>4</w:t>
      </w:r>
      <w:r w:rsidR="009A4CE9" w:rsidRPr="00183207">
        <w:rPr>
          <w:sz w:val="20"/>
          <w:szCs w:val="20"/>
          <w:lang w:val="en-US"/>
        </w:rPr>
        <w:t xml:space="preserve"> (</w:t>
      </w:r>
      <w:r w:rsidR="001A1CD7" w:rsidRPr="00183207">
        <w:rPr>
          <w:i/>
          <w:sz w:val="20"/>
          <w:szCs w:val="20"/>
          <w:lang w:val="en-US"/>
        </w:rPr>
        <w:t>M</w:t>
      </w:r>
      <w:r w:rsidR="009A4CE9" w:rsidRPr="00183207">
        <w:rPr>
          <w:i/>
          <w:sz w:val="20"/>
          <w:szCs w:val="20"/>
          <w:lang w:val="en-US"/>
        </w:rPr>
        <w:t xml:space="preserve"> =</w:t>
      </w:r>
      <w:r w:rsidR="009A4CE9" w:rsidRPr="00183207">
        <w:rPr>
          <w:sz w:val="20"/>
          <w:szCs w:val="20"/>
          <w:lang w:val="en-US"/>
        </w:rPr>
        <w:t xml:space="preserve"> 30.66, </w:t>
      </w:r>
      <w:r w:rsidR="009A4CE9" w:rsidRPr="00183207">
        <w:rPr>
          <w:i/>
          <w:sz w:val="20"/>
          <w:szCs w:val="20"/>
          <w:lang w:val="en-US"/>
        </w:rPr>
        <w:t>SD =</w:t>
      </w:r>
      <w:r w:rsidR="009A4CE9" w:rsidRPr="00183207">
        <w:rPr>
          <w:sz w:val="20"/>
          <w:szCs w:val="20"/>
          <w:lang w:val="en-US"/>
        </w:rPr>
        <w:t xml:space="preserve"> 10.</w:t>
      </w:r>
      <w:r w:rsidR="001D6795" w:rsidRPr="00183207">
        <w:rPr>
          <w:sz w:val="20"/>
          <w:szCs w:val="20"/>
          <w:lang w:val="en-US"/>
        </w:rPr>
        <w:t>18</w:t>
      </w:r>
      <w:r w:rsidR="009A4CE9" w:rsidRPr="00183207">
        <w:rPr>
          <w:sz w:val="20"/>
          <w:szCs w:val="20"/>
          <w:lang w:val="en-US"/>
        </w:rPr>
        <w:t>).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906DAD" w:rsidRPr="00183207" w:rsidRDefault="009A4CE9" w:rsidP="00183207">
      <w:pPr>
        <w:jc w:val="both"/>
        <w:rPr>
          <w:color w:val="4F81BD"/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The participants with visual impairment</w:t>
      </w:r>
      <w:r w:rsidR="00F75AE5" w:rsidRPr="00183207">
        <w:rPr>
          <w:sz w:val="20"/>
          <w:szCs w:val="20"/>
          <w:lang w:val="en-US"/>
        </w:rPr>
        <w:t>s</w:t>
      </w:r>
      <w:r w:rsidRPr="00183207">
        <w:rPr>
          <w:sz w:val="20"/>
          <w:szCs w:val="20"/>
          <w:lang w:val="en-US"/>
        </w:rPr>
        <w:t xml:space="preserve"> were divided into two categories: a) individuals with blindness</w:t>
      </w:r>
      <w:r w:rsidR="00906DAD" w:rsidRPr="00183207">
        <w:rPr>
          <w:sz w:val="20"/>
          <w:szCs w:val="20"/>
          <w:lang w:val="en-US"/>
        </w:rPr>
        <w:t xml:space="preserve"> or severe visual impairments</w:t>
      </w:r>
      <w:r w:rsidRPr="00183207">
        <w:rPr>
          <w:sz w:val="20"/>
          <w:szCs w:val="20"/>
          <w:lang w:val="en-US"/>
        </w:rPr>
        <w:t xml:space="preserve"> (</w:t>
      </w:r>
      <w:r w:rsidR="007F7A8D" w:rsidRPr="00183207">
        <w:rPr>
          <w:sz w:val="20"/>
          <w:szCs w:val="20"/>
          <w:lang w:val="en-US"/>
        </w:rPr>
        <w:t xml:space="preserve">braille readers </w:t>
      </w:r>
      <w:r w:rsidR="000346DC" w:rsidRPr="00183207">
        <w:rPr>
          <w:sz w:val="20"/>
          <w:szCs w:val="20"/>
          <w:lang w:val="en-US"/>
        </w:rPr>
        <w:t xml:space="preserve">or </w:t>
      </w:r>
      <w:r w:rsidR="007F7A8D" w:rsidRPr="00183207">
        <w:rPr>
          <w:sz w:val="20"/>
          <w:szCs w:val="20"/>
          <w:lang w:val="en-US"/>
        </w:rPr>
        <w:t>users</w:t>
      </w:r>
      <w:r w:rsidR="000346DC" w:rsidRPr="00183207">
        <w:rPr>
          <w:sz w:val="20"/>
          <w:szCs w:val="20"/>
          <w:lang w:val="en-US"/>
        </w:rPr>
        <w:t xml:space="preserve"> of a </w:t>
      </w:r>
      <w:r w:rsidR="00221C26" w:rsidRPr="00183207">
        <w:rPr>
          <w:sz w:val="20"/>
          <w:szCs w:val="20"/>
          <w:lang w:val="en-US"/>
        </w:rPr>
        <w:t xml:space="preserve">text-to-speech software or </w:t>
      </w:r>
      <w:r w:rsidR="00F902E2" w:rsidRPr="00183207">
        <w:rPr>
          <w:sz w:val="20"/>
          <w:szCs w:val="20"/>
          <w:lang w:val="en-US"/>
        </w:rPr>
        <w:t xml:space="preserve">a </w:t>
      </w:r>
      <w:r w:rsidR="007A274A" w:rsidRPr="00183207">
        <w:rPr>
          <w:sz w:val="20"/>
          <w:szCs w:val="20"/>
          <w:lang w:val="en-US"/>
        </w:rPr>
        <w:t>screen read</w:t>
      </w:r>
      <w:r w:rsidR="003A4739" w:rsidRPr="00183207">
        <w:rPr>
          <w:sz w:val="20"/>
          <w:szCs w:val="20"/>
          <w:lang w:val="en-US"/>
        </w:rPr>
        <w:t>ing software</w:t>
      </w:r>
      <w:r w:rsidRPr="00183207">
        <w:rPr>
          <w:sz w:val="20"/>
          <w:szCs w:val="20"/>
          <w:lang w:val="en-US"/>
        </w:rPr>
        <w:t xml:space="preserve">) and b) individuals with </w:t>
      </w:r>
      <w:r w:rsidR="00221C26" w:rsidRPr="00183207">
        <w:rPr>
          <w:sz w:val="20"/>
          <w:szCs w:val="20"/>
          <w:lang w:val="en-US"/>
        </w:rPr>
        <w:t>low</w:t>
      </w:r>
      <w:r w:rsidRPr="00183207">
        <w:rPr>
          <w:sz w:val="20"/>
          <w:szCs w:val="20"/>
          <w:lang w:val="en-US"/>
        </w:rPr>
        <w:t xml:space="preserve"> vision</w:t>
      </w:r>
      <w:r w:rsidR="007A274A" w:rsidRPr="00183207">
        <w:rPr>
          <w:sz w:val="20"/>
          <w:szCs w:val="20"/>
          <w:lang w:val="en-US"/>
        </w:rPr>
        <w:t xml:space="preserve"> (</w:t>
      </w:r>
      <w:r w:rsidR="00455D8F" w:rsidRPr="00183207">
        <w:rPr>
          <w:sz w:val="20"/>
          <w:szCs w:val="20"/>
          <w:lang w:val="en-GB"/>
        </w:rPr>
        <w:t xml:space="preserve">readers of </w:t>
      </w:r>
      <w:r w:rsidR="00234E42" w:rsidRPr="00183207">
        <w:rPr>
          <w:sz w:val="20"/>
          <w:szCs w:val="20"/>
          <w:lang w:val="en-US"/>
        </w:rPr>
        <w:t xml:space="preserve">large </w:t>
      </w:r>
      <w:r w:rsidR="00455D8F" w:rsidRPr="00183207">
        <w:rPr>
          <w:sz w:val="20"/>
          <w:szCs w:val="20"/>
          <w:lang w:val="en-GB"/>
        </w:rPr>
        <w:t>print</w:t>
      </w:r>
      <w:r w:rsidR="00234E42" w:rsidRPr="00183207">
        <w:rPr>
          <w:sz w:val="20"/>
          <w:szCs w:val="20"/>
          <w:lang w:val="en-GB"/>
        </w:rPr>
        <w:t>s</w:t>
      </w:r>
      <w:r w:rsidR="00455D8F" w:rsidRPr="00183207">
        <w:rPr>
          <w:sz w:val="20"/>
          <w:szCs w:val="20"/>
          <w:lang w:val="en-US"/>
        </w:rPr>
        <w:t xml:space="preserve"> </w:t>
      </w:r>
      <w:r w:rsidR="00F902E2" w:rsidRPr="00183207">
        <w:rPr>
          <w:sz w:val="20"/>
          <w:szCs w:val="20"/>
          <w:lang w:val="en-US"/>
        </w:rPr>
        <w:t>or of typically print texts with the use of</w:t>
      </w:r>
      <w:r w:rsidR="00234E42" w:rsidRPr="00183207">
        <w:rPr>
          <w:sz w:val="20"/>
          <w:szCs w:val="20"/>
          <w:lang w:val="en-US"/>
        </w:rPr>
        <w:t xml:space="preserve"> low vision aids</w:t>
      </w:r>
      <w:r w:rsidR="007A274A" w:rsidRPr="00183207">
        <w:rPr>
          <w:sz w:val="20"/>
          <w:szCs w:val="20"/>
          <w:lang w:val="en-US"/>
        </w:rPr>
        <w:t>)</w:t>
      </w:r>
      <w:r w:rsidR="0075496F" w:rsidRPr="00183207">
        <w:rPr>
          <w:sz w:val="20"/>
          <w:szCs w:val="20"/>
          <w:lang w:val="en-US"/>
        </w:rPr>
        <w:t xml:space="preserve">.  </w:t>
      </w:r>
      <w:r w:rsidR="00906DAD" w:rsidRPr="00183207">
        <w:rPr>
          <w:sz w:val="20"/>
          <w:szCs w:val="20"/>
          <w:lang w:val="en-US"/>
        </w:rPr>
        <w:t>Of the 90 participants with visual impairments, 3</w:t>
      </w:r>
      <w:r w:rsidR="008A305E" w:rsidRPr="00183207">
        <w:rPr>
          <w:sz w:val="20"/>
          <w:szCs w:val="20"/>
          <w:lang w:val="en-US"/>
        </w:rPr>
        <w:t>0</w:t>
      </w:r>
      <w:r w:rsidR="00906DAD" w:rsidRPr="00183207">
        <w:rPr>
          <w:sz w:val="20"/>
          <w:szCs w:val="20"/>
          <w:lang w:val="en-US"/>
        </w:rPr>
        <w:t xml:space="preserve"> were individuals with blindness or severe visual impairments and </w:t>
      </w:r>
      <w:r w:rsidR="008A305E" w:rsidRPr="00183207">
        <w:rPr>
          <w:sz w:val="20"/>
          <w:szCs w:val="20"/>
          <w:lang w:val="en-US"/>
        </w:rPr>
        <w:t>60</w:t>
      </w:r>
      <w:r w:rsidR="00906DAD" w:rsidRPr="00183207">
        <w:rPr>
          <w:sz w:val="20"/>
          <w:szCs w:val="20"/>
          <w:lang w:val="en-US"/>
        </w:rPr>
        <w:t xml:space="preserve"> were individuals with low vision</w:t>
      </w:r>
      <w:r w:rsidR="0075496F" w:rsidRPr="00183207">
        <w:rPr>
          <w:sz w:val="20"/>
          <w:szCs w:val="20"/>
          <w:lang w:val="en-US"/>
        </w:rPr>
        <w:t xml:space="preserve">.  </w:t>
      </w:r>
      <w:r w:rsidR="001D6795" w:rsidRPr="00183207">
        <w:rPr>
          <w:sz w:val="20"/>
          <w:szCs w:val="20"/>
          <w:lang w:val="en-US"/>
        </w:rPr>
        <w:t>Th</w:t>
      </w:r>
      <w:r w:rsidR="00906DAD" w:rsidRPr="00183207">
        <w:rPr>
          <w:sz w:val="20"/>
          <w:szCs w:val="20"/>
          <w:lang w:val="en-US"/>
        </w:rPr>
        <w:t>e</w:t>
      </w:r>
      <w:r w:rsidR="00E71090" w:rsidRPr="00183207">
        <w:rPr>
          <w:sz w:val="20"/>
          <w:szCs w:val="20"/>
          <w:lang w:val="en-US"/>
        </w:rPr>
        <w:t xml:space="preserve"> </w:t>
      </w:r>
      <w:r w:rsidR="00906DAD" w:rsidRPr="00183207">
        <w:rPr>
          <w:sz w:val="20"/>
          <w:szCs w:val="20"/>
          <w:lang w:val="en-US"/>
        </w:rPr>
        <w:t>participants with</w:t>
      </w:r>
      <w:r w:rsidR="00D457B6" w:rsidRPr="00183207">
        <w:rPr>
          <w:sz w:val="20"/>
          <w:szCs w:val="20"/>
          <w:lang w:val="en-US"/>
        </w:rPr>
        <w:t xml:space="preserve"> </w:t>
      </w:r>
      <w:r w:rsidR="00906DAD" w:rsidRPr="00183207">
        <w:rPr>
          <w:sz w:val="20"/>
          <w:szCs w:val="20"/>
          <w:lang w:val="en-US"/>
        </w:rPr>
        <w:t>blindne</w:t>
      </w:r>
      <w:r w:rsidR="00E71090" w:rsidRPr="00183207">
        <w:rPr>
          <w:sz w:val="20"/>
          <w:szCs w:val="20"/>
          <w:lang w:val="en-US"/>
        </w:rPr>
        <w:t xml:space="preserve">ss or severe visual impairments, 20 men and 10 women, were aged </w:t>
      </w:r>
      <w:r w:rsidR="00906DAD" w:rsidRPr="00183207">
        <w:rPr>
          <w:sz w:val="20"/>
          <w:szCs w:val="20"/>
          <w:lang w:val="en-US"/>
        </w:rPr>
        <w:t>from 1</w:t>
      </w:r>
      <w:r w:rsidR="00DF6B10" w:rsidRPr="00183207">
        <w:rPr>
          <w:sz w:val="20"/>
          <w:szCs w:val="20"/>
          <w:lang w:val="en-US"/>
        </w:rPr>
        <w:t>9</w:t>
      </w:r>
      <w:r w:rsidR="00906DAD" w:rsidRPr="00183207">
        <w:rPr>
          <w:sz w:val="20"/>
          <w:szCs w:val="20"/>
          <w:lang w:val="en-US"/>
        </w:rPr>
        <w:t xml:space="preserve"> to </w:t>
      </w:r>
      <w:r w:rsidR="00DF6B10" w:rsidRPr="00183207">
        <w:rPr>
          <w:sz w:val="20"/>
          <w:szCs w:val="20"/>
          <w:lang w:val="en-US"/>
        </w:rPr>
        <w:t>53</w:t>
      </w:r>
      <w:r w:rsidR="00906DAD" w:rsidRPr="00183207">
        <w:rPr>
          <w:sz w:val="20"/>
          <w:szCs w:val="20"/>
          <w:lang w:val="en-US"/>
        </w:rPr>
        <w:t xml:space="preserve"> years old (</w:t>
      </w:r>
      <w:r w:rsidR="00D457B6" w:rsidRPr="00183207">
        <w:rPr>
          <w:i/>
          <w:sz w:val="20"/>
          <w:szCs w:val="20"/>
          <w:lang w:val="en-US"/>
        </w:rPr>
        <w:t xml:space="preserve">M </w:t>
      </w:r>
      <w:r w:rsidR="00906DAD" w:rsidRPr="00183207">
        <w:rPr>
          <w:i/>
          <w:sz w:val="20"/>
          <w:szCs w:val="20"/>
          <w:lang w:val="en-US"/>
        </w:rPr>
        <w:t>=</w:t>
      </w:r>
      <w:r w:rsidR="00906DAD" w:rsidRPr="00183207">
        <w:rPr>
          <w:sz w:val="20"/>
          <w:szCs w:val="20"/>
          <w:lang w:val="en-US"/>
        </w:rPr>
        <w:t xml:space="preserve"> 3</w:t>
      </w:r>
      <w:r w:rsidR="00DF6B10" w:rsidRPr="00183207">
        <w:rPr>
          <w:sz w:val="20"/>
          <w:szCs w:val="20"/>
          <w:lang w:val="en-US"/>
        </w:rPr>
        <w:t>0</w:t>
      </w:r>
      <w:r w:rsidR="00906DAD" w:rsidRPr="00183207">
        <w:rPr>
          <w:sz w:val="20"/>
          <w:szCs w:val="20"/>
          <w:lang w:val="en-US"/>
        </w:rPr>
        <w:t>.</w:t>
      </w:r>
      <w:r w:rsidR="00DF6B10" w:rsidRPr="00183207">
        <w:rPr>
          <w:sz w:val="20"/>
          <w:szCs w:val="20"/>
          <w:lang w:val="en-US"/>
        </w:rPr>
        <w:t>80</w:t>
      </w:r>
      <w:r w:rsidR="00906DAD" w:rsidRPr="00183207">
        <w:rPr>
          <w:sz w:val="20"/>
          <w:szCs w:val="20"/>
          <w:lang w:val="en-US"/>
        </w:rPr>
        <w:t xml:space="preserve">, </w:t>
      </w:r>
      <w:r w:rsidR="00906DAD" w:rsidRPr="00183207">
        <w:rPr>
          <w:i/>
          <w:sz w:val="20"/>
          <w:szCs w:val="20"/>
          <w:lang w:val="en-US"/>
        </w:rPr>
        <w:t>SD</w:t>
      </w:r>
      <w:r w:rsidR="00D457B6" w:rsidRPr="00183207">
        <w:rPr>
          <w:i/>
          <w:sz w:val="20"/>
          <w:szCs w:val="20"/>
          <w:lang w:val="en-US"/>
        </w:rPr>
        <w:t xml:space="preserve"> </w:t>
      </w:r>
      <w:r w:rsidR="00906DAD" w:rsidRPr="00183207">
        <w:rPr>
          <w:i/>
          <w:sz w:val="20"/>
          <w:szCs w:val="20"/>
          <w:lang w:val="en-US"/>
        </w:rPr>
        <w:t>=</w:t>
      </w:r>
      <w:r w:rsidR="00D457B6" w:rsidRPr="00183207">
        <w:rPr>
          <w:sz w:val="20"/>
          <w:szCs w:val="20"/>
          <w:lang w:val="en-US"/>
        </w:rPr>
        <w:t xml:space="preserve"> </w:t>
      </w:r>
      <w:r w:rsidR="00DF6B10" w:rsidRPr="00183207">
        <w:rPr>
          <w:sz w:val="20"/>
          <w:szCs w:val="20"/>
          <w:lang w:val="en-US"/>
        </w:rPr>
        <w:t>9.59</w:t>
      </w:r>
      <w:r w:rsidR="00E71090" w:rsidRPr="00183207">
        <w:rPr>
          <w:sz w:val="20"/>
          <w:szCs w:val="20"/>
          <w:lang w:val="en-US"/>
        </w:rPr>
        <w:t>)</w:t>
      </w:r>
      <w:r w:rsidR="0075496F" w:rsidRPr="00183207">
        <w:rPr>
          <w:sz w:val="20"/>
          <w:szCs w:val="20"/>
          <w:lang w:val="en-US"/>
        </w:rPr>
        <w:t xml:space="preserve">.  </w:t>
      </w:r>
      <w:r w:rsidR="00E71090" w:rsidRPr="00183207">
        <w:rPr>
          <w:sz w:val="20"/>
          <w:szCs w:val="20"/>
          <w:lang w:val="en-US"/>
        </w:rPr>
        <w:t xml:space="preserve">The </w:t>
      </w:r>
      <w:r w:rsidR="00906DAD" w:rsidRPr="00183207">
        <w:rPr>
          <w:sz w:val="20"/>
          <w:szCs w:val="20"/>
          <w:lang w:val="en-US"/>
        </w:rPr>
        <w:t>participants with low vision</w:t>
      </w:r>
      <w:r w:rsidR="00E71090" w:rsidRPr="00183207">
        <w:rPr>
          <w:sz w:val="20"/>
          <w:szCs w:val="20"/>
          <w:lang w:val="en-US"/>
        </w:rPr>
        <w:t>, 40 men and 20 women,</w:t>
      </w:r>
      <w:r w:rsidR="00906DAD" w:rsidRPr="00183207">
        <w:rPr>
          <w:sz w:val="20"/>
          <w:szCs w:val="20"/>
          <w:lang w:val="en-US"/>
        </w:rPr>
        <w:t xml:space="preserve"> </w:t>
      </w:r>
      <w:r w:rsidR="00E71090" w:rsidRPr="00183207">
        <w:rPr>
          <w:sz w:val="20"/>
          <w:szCs w:val="20"/>
          <w:lang w:val="en-US"/>
        </w:rPr>
        <w:t>were aged</w:t>
      </w:r>
      <w:r w:rsidR="00906DAD" w:rsidRPr="00183207">
        <w:rPr>
          <w:sz w:val="20"/>
          <w:szCs w:val="20"/>
          <w:lang w:val="en-US"/>
        </w:rPr>
        <w:t xml:space="preserve"> from 1</w:t>
      </w:r>
      <w:r w:rsidR="002D7B33" w:rsidRPr="00183207">
        <w:rPr>
          <w:sz w:val="20"/>
          <w:szCs w:val="20"/>
          <w:lang w:val="en-US"/>
        </w:rPr>
        <w:t>9</w:t>
      </w:r>
      <w:r w:rsidR="00906DAD" w:rsidRPr="00183207">
        <w:rPr>
          <w:sz w:val="20"/>
          <w:szCs w:val="20"/>
          <w:lang w:val="en-US"/>
        </w:rPr>
        <w:t xml:space="preserve"> to 5</w:t>
      </w:r>
      <w:r w:rsidR="002D7B33" w:rsidRPr="00183207">
        <w:rPr>
          <w:sz w:val="20"/>
          <w:szCs w:val="20"/>
          <w:lang w:val="en-US"/>
        </w:rPr>
        <w:t>4</w:t>
      </w:r>
      <w:r w:rsidR="00906DAD" w:rsidRPr="00183207">
        <w:rPr>
          <w:sz w:val="20"/>
          <w:szCs w:val="20"/>
          <w:lang w:val="en-US"/>
        </w:rPr>
        <w:t xml:space="preserve"> years old (</w:t>
      </w:r>
      <w:r w:rsidR="00D457B6" w:rsidRPr="00183207">
        <w:rPr>
          <w:i/>
          <w:sz w:val="20"/>
          <w:szCs w:val="20"/>
          <w:lang w:val="en-US"/>
        </w:rPr>
        <w:t xml:space="preserve">M </w:t>
      </w:r>
      <w:r w:rsidR="00906DAD" w:rsidRPr="00183207">
        <w:rPr>
          <w:i/>
          <w:sz w:val="20"/>
          <w:szCs w:val="20"/>
          <w:lang w:val="en-US"/>
        </w:rPr>
        <w:t>=</w:t>
      </w:r>
      <w:r w:rsidR="00D457B6" w:rsidRPr="00183207">
        <w:rPr>
          <w:i/>
          <w:sz w:val="20"/>
          <w:szCs w:val="20"/>
          <w:lang w:val="en-US"/>
        </w:rPr>
        <w:t xml:space="preserve"> </w:t>
      </w:r>
      <w:r w:rsidR="00906DAD" w:rsidRPr="00183207">
        <w:rPr>
          <w:sz w:val="20"/>
          <w:szCs w:val="20"/>
          <w:lang w:val="en-US"/>
        </w:rPr>
        <w:t>3</w:t>
      </w:r>
      <w:r w:rsidR="002D7B33" w:rsidRPr="00183207">
        <w:rPr>
          <w:sz w:val="20"/>
          <w:szCs w:val="20"/>
          <w:lang w:val="en-US"/>
        </w:rPr>
        <w:t>0</w:t>
      </w:r>
      <w:r w:rsidR="00906DAD" w:rsidRPr="00183207">
        <w:rPr>
          <w:sz w:val="20"/>
          <w:szCs w:val="20"/>
          <w:lang w:val="en-US"/>
        </w:rPr>
        <w:t>.</w:t>
      </w:r>
      <w:r w:rsidR="007A77A5" w:rsidRPr="00183207">
        <w:rPr>
          <w:sz w:val="20"/>
          <w:szCs w:val="20"/>
          <w:lang w:val="en-US"/>
        </w:rPr>
        <w:t>59</w:t>
      </w:r>
      <w:r w:rsidR="00906DAD" w:rsidRPr="00183207">
        <w:rPr>
          <w:sz w:val="20"/>
          <w:szCs w:val="20"/>
          <w:lang w:val="en-US"/>
        </w:rPr>
        <w:t xml:space="preserve">, </w:t>
      </w:r>
      <w:r w:rsidR="00906DAD" w:rsidRPr="00183207">
        <w:rPr>
          <w:i/>
          <w:sz w:val="20"/>
          <w:szCs w:val="20"/>
          <w:lang w:val="en-US"/>
        </w:rPr>
        <w:t>SD</w:t>
      </w:r>
      <w:r w:rsidR="00D457B6" w:rsidRPr="00183207">
        <w:rPr>
          <w:i/>
          <w:sz w:val="20"/>
          <w:szCs w:val="20"/>
          <w:lang w:val="en-US"/>
        </w:rPr>
        <w:t xml:space="preserve"> </w:t>
      </w:r>
      <w:r w:rsidR="00906DAD" w:rsidRPr="00183207">
        <w:rPr>
          <w:i/>
          <w:sz w:val="20"/>
          <w:szCs w:val="20"/>
          <w:lang w:val="en-US"/>
        </w:rPr>
        <w:t>=</w:t>
      </w:r>
      <w:r w:rsidR="00906DAD" w:rsidRPr="00183207">
        <w:rPr>
          <w:sz w:val="20"/>
          <w:szCs w:val="20"/>
          <w:lang w:val="en-US"/>
        </w:rPr>
        <w:t xml:space="preserve"> 1</w:t>
      </w:r>
      <w:r w:rsidR="007A77A5" w:rsidRPr="00183207">
        <w:rPr>
          <w:sz w:val="20"/>
          <w:szCs w:val="20"/>
          <w:lang w:val="en-US"/>
        </w:rPr>
        <w:t>0</w:t>
      </w:r>
      <w:r w:rsidR="00906DAD" w:rsidRPr="00183207">
        <w:rPr>
          <w:sz w:val="20"/>
          <w:szCs w:val="20"/>
          <w:lang w:val="en-US"/>
        </w:rPr>
        <w:t>.23).</w:t>
      </w:r>
    </w:p>
    <w:p w:rsidR="00183207" w:rsidRDefault="00183207" w:rsidP="00183207">
      <w:pPr>
        <w:jc w:val="both"/>
        <w:rPr>
          <w:b/>
          <w:iCs/>
          <w:sz w:val="20"/>
          <w:szCs w:val="20"/>
          <w:lang w:val="en-US"/>
        </w:rPr>
      </w:pPr>
    </w:p>
    <w:p w:rsidR="009A4CE9" w:rsidRPr="00183207" w:rsidRDefault="00C72A91" w:rsidP="00183207">
      <w:pPr>
        <w:jc w:val="both"/>
        <w:rPr>
          <w:i/>
          <w:iCs/>
          <w:sz w:val="20"/>
          <w:szCs w:val="20"/>
          <w:lang w:val="en-US"/>
        </w:rPr>
      </w:pPr>
      <w:r w:rsidRPr="00183207">
        <w:rPr>
          <w:i/>
          <w:iCs/>
          <w:sz w:val="20"/>
          <w:szCs w:val="20"/>
          <w:lang w:val="en-US"/>
        </w:rPr>
        <w:t>Instruments</w:t>
      </w:r>
    </w:p>
    <w:p w:rsidR="009C5901" w:rsidRPr="00183207" w:rsidRDefault="00CD7407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The measures used in the present study assessed demographic/personal data, and personality traits</w:t>
      </w:r>
      <w:r w:rsidR="00BC1FC7" w:rsidRPr="00183207">
        <w:rPr>
          <w:sz w:val="20"/>
          <w:szCs w:val="20"/>
          <w:lang w:val="en-US"/>
        </w:rPr>
        <w:t>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:rsidR="009C5901" w:rsidRPr="00183207" w:rsidRDefault="00CD7407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proofErr w:type="gramStart"/>
      <w:r w:rsidRPr="00183207">
        <w:rPr>
          <w:i/>
          <w:sz w:val="20"/>
          <w:szCs w:val="20"/>
          <w:lang w:val="en-US"/>
        </w:rPr>
        <w:t>Demographic data</w:t>
      </w:r>
      <w:r w:rsidR="0075496F" w:rsidRPr="00183207">
        <w:rPr>
          <w:i/>
          <w:sz w:val="20"/>
          <w:szCs w:val="20"/>
          <w:lang w:val="en-US"/>
        </w:rPr>
        <w:t>.</w:t>
      </w:r>
      <w:proofErr w:type="gramEnd"/>
      <w:r w:rsidR="0075496F" w:rsidRPr="00183207">
        <w:rPr>
          <w:b/>
          <w:sz w:val="20"/>
          <w:szCs w:val="20"/>
          <w:lang w:val="en-US"/>
        </w:rPr>
        <w:t xml:space="preserve">  </w:t>
      </w:r>
      <w:r w:rsidRPr="00183207">
        <w:rPr>
          <w:sz w:val="20"/>
          <w:szCs w:val="20"/>
          <w:lang w:val="en-US"/>
        </w:rPr>
        <w:t>The following demographic data was collected from participants with</w:t>
      </w:r>
      <w:r w:rsidR="009C5901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visual impairment</w:t>
      </w:r>
      <w:r w:rsidR="00F75AE5" w:rsidRPr="00183207">
        <w:rPr>
          <w:sz w:val="20"/>
          <w:szCs w:val="20"/>
          <w:lang w:val="en-US"/>
        </w:rPr>
        <w:t>s</w:t>
      </w:r>
      <w:r w:rsidRPr="00183207">
        <w:rPr>
          <w:sz w:val="20"/>
          <w:szCs w:val="20"/>
          <w:lang w:val="en-US"/>
        </w:rPr>
        <w:t>: visual acuity, visual field, and reading media (</w:t>
      </w:r>
      <w:r w:rsidR="009C5901" w:rsidRPr="00183207">
        <w:rPr>
          <w:sz w:val="20"/>
          <w:szCs w:val="20"/>
          <w:lang w:val="en-US"/>
        </w:rPr>
        <w:t>braille, large prints, lens, screen magnifier, screen reader, CCTV</w:t>
      </w:r>
      <w:r w:rsidRPr="00183207">
        <w:rPr>
          <w:sz w:val="20"/>
          <w:szCs w:val="20"/>
          <w:lang w:val="en-US"/>
        </w:rPr>
        <w:t>), gen</w:t>
      </w:r>
      <w:r w:rsidR="009C5901" w:rsidRPr="00183207">
        <w:rPr>
          <w:sz w:val="20"/>
          <w:szCs w:val="20"/>
          <w:lang w:val="en-US"/>
        </w:rPr>
        <w:t xml:space="preserve">der, age, </w:t>
      </w:r>
      <w:r w:rsidR="008F5B0F" w:rsidRPr="00183207">
        <w:rPr>
          <w:sz w:val="20"/>
          <w:szCs w:val="20"/>
          <w:lang w:val="en-US"/>
        </w:rPr>
        <w:t xml:space="preserve">and </w:t>
      </w:r>
      <w:r w:rsidR="009C5901" w:rsidRPr="00183207">
        <w:rPr>
          <w:sz w:val="20"/>
          <w:szCs w:val="20"/>
          <w:lang w:val="en-US"/>
        </w:rPr>
        <w:t>age at loss of sight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Sighted respondents provided demographic data on gender, age and educational level</w:t>
      </w:r>
      <w:r w:rsidR="0075496F" w:rsidRPr="00183207">
        <w:rPr>
          <w:sz w:val="20"/>
          <w:szCs w:val="20"/>
          <w:lang w:val="en-US"/>
        </w:rPr>
        <w:t xml:space="preserve">.  </w:t>
      </w:r>
      <w:r w:rsidR="007E5F92" w:rsidRPr="00183207">
        <w:rPr>
          <w:sz w:val="20"/>
          <w:szCs w:val="20"/>
          <w:lang w:val="en-US"/>
        </w:rPr>
        <w:t xml:space="preserve">Moreover, a new variable was created named </w:t>
      </w:r>
      <w:r w:rsidR="007E5F92" w:rsidRPr="00183207">
        <w:rPr>
          <w:i/>
          <w:sz w:val="20"/>
          <w:szCs w:val="20"/>
          <w:lang w:val="en-US"/>
        </w:rPr>
        <w:t>how recently the vi</w:t>
      </w:r>
      <w:r w:rsidR="00F902E2" w:rsidRPr="00183207">
        <w:rPr>
          <w:i/>
          <w:sz w:val="20"/>
          <w:szCs w:val="20"/>
          <w:lang w:val="en-US"/>
        </w:rPr>
        <w:t>sual impairment occurred</w:t>
      </w:r>
      <w:r w:rsidR="0075496F" w:rsidRPr="00183207">
        <w:rPr>
          <w:sz w:val="20"/>
          <w:szCs w:val="20"/>
          <w:lang w:val="en-US"/>
        </w:rPr>
        <w:t xml:space="preserve">.  </w:t>
      </w:r>
      <w:r w:rsidR="00F902E2" w:rsidRPr="00183207">
        <w:rPr>
          <w:sz w:val="20"/>
          <w:szCs w:val="20"/>
          <w:lang w:val="en-US"/>
        </w:rPr>
        <w:t>The results were formed</w:t>
      </w:r>
      <w:r w:rsidR="007E5F92" w:rsidRPr="00183207">
        <w:rPr>
          <w:sz w:val="20"/>
          <w:szCs w:val="20"/>
          <w:lang w:val="en-US"/>
        </w:rPr>
        <w:t xml:space="preserve"> by subtracting the age at which loss of sight occurred from the participant’s age.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:rsidR="00CA52E4" w:rsidRPr="00183207" w:rsidRDefault="009C5901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proofErr w:type="gramStart"/>
      <w:r w:rsidRPr="00183207">
        <w:rPr>
          <w:i/>
          <w:sz w:val="20"/>
          <w:szCs w:val="20"/>
          <w:lang w:val="en-US"/>
        </w:rPr>
        <w:t>Personality traits</w:t>
      </w:r>
      <w:r w:rsidR="0075496F" w:rsidRPr="00183207">
        <w:rPr>
          <w:b/>
          <w:sz w:val="20"/>
          <w:szCs w:val="20"/>
          <w:lang w:val="en-US"/>
        </w:rPr>
        <w:t>.</w:t>
      </w:r>
      <w:proofErr w:type="gramEnd"/>
      <w:r w:rsidR="0075496F" w:rsidRPr="00183207">
        <w:rPr>
          <w:b/>
          <w:sz w:val="20"/>
          <w:szCs w:val="20"/>
          <w:lang w:val="en-US"/>
        </w:rPr>
        <w:t xml:space="preserve">  </w:t>
      </w:r>
      <w:r w:rsidRPr="00183207">
        <w:rPr>
          <w:sz w:val="20"/>
          <w:szCs w:val="20"/>
          <w:lang w:val="en-US"/>
        </w:rPr>
        <w:t xml:space="preserve">The </w:t>
      </w:r>
      <w:proofErr w:type="spellStart"/>
      <w:r w:rsidR="009A4CE9" w:rsidRPr="00183207">
        <w:rPr>
          <w:sz w:val="20"/>
          <w:szCs w:val="20"/>
          <w:lang w:val="en-US"/>
        </w:rPr>
        <w:t>Eysenck</w:t>
      </w:r>
      <w:proofErr w:type="spellEnd"/>
      <w:r w:rsidR="009A4CE9" w:rsidRPr="00183207">
        <w:rPr>
          <w:sz w:val="20"/>
          <w:szCs w:val="20"/>
          <w:lang w:val="en-US"/>
        </w:rPr>
        <w:t xml:space="preserve"> Personality Questionnaire-Revised Short Scale (EPQ-R short scale) (</w:t>
      </w:r>
      <w:proofErr w:type="spellStart"/>
      <w:r w:rsidR="009A4CE9" w:rsidRPr="00183207">
        <w:rPr>
          <w:sz w:val="20"/>
          <w:szCs w:val="20"/>
          <w:lang w:val="en-US"/>
        </w:rPr>
        <w:t>Eys</w:t>
      </w:r>
      <w:r w:rsidR="00CA52E4" w:rsidRPr="00183207">
        <w:rPr>
          <w:sz w:val="20"/>
          <w:szCs w:val="20"/>
          <w:lang w:val="en-US"/>
        </w:rPr>
        <w:t>enck</w:t>
      </w:r>
      <w:proofErr w:type="spellEnd"/>
      <w:r w:rsidR="00CA52E4" w:rsidRPr="00183207">
        <w:rPr>
          <w:sz w:val="20"/>
          <w:szCs w:val="20"/>
          <w:lang w:val="en-US"/>
        </w:rPr>
        <w:t xml:space="preserve"> &amp; </w:t>
      </w:r>
      <w:proofErr w:type="spellStart"/>
      <w:r w:rsidR="00CA52E4" w:rsidRPr="00183207">
        <w:rPr>
          <w:sz w:val="20"/>
          <w:szCs w:val="20"/>
          <w:lang w:val="en-US"/>
        </w:rPr>
        <w:t>Eysenck</w:t>
      </w:r>
      <w:proofErr w:type="spellEnd"/>
      <w:r w:rsidR="00CA52E4" w:rsidRPr="00183207">
        <w:rPr>
          <w:sz w:val="20"/>
          <w:szCs w:val="20"/>
          <w:lang w:val="en-US"/>
        </w:rPr>
        <w:t>, 1991) were used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 xml:space="preserve">This questionnaire </w:t>
      </w:r>
      <w:r w:rsidR="009A4CE9" w:rsidRPr="00183207">
        <w:rPr>
          <w:sz w:val="20"/>
          <w:szCs w:val="20"/>
          <w:lang w:val="en-US"/>
        </w:rPr>
        <w:t>has been translated into the Greek language by Alexopoulos &amp; Kalaitzidis (2004)</w:t>
      </w:r>
      <w:r w:rsidR="0075496F" w:rsidRPr="00183207">
        <w:rPr>
          <w:sz w:val="20"/>
          <w:szCs w:val="20"/>
          <w:lang w:val="en-US"/>
        </w:rPr>
        <w:t xml:space="preserve">.  </w:t>
      </w:r>
      <w:r w:rsidR="00007BF5" w:rsidRPr="00183207">
        <w:rPr>
          <w:sz w:val="20"/>
          <w:szCs w:val="20"/>
          <w:lang w:val="en-US"/>
        </w:rPr>
        <w:t xml:space="preserve">The EPQ-R sort scale is a sort version of the EPQ-R, which is the most recent scale developed by </w:t>
      </w:r>
      <w:proofErr w:type="spellStart"/>
      <w:r w:rsidR="00007BF5" w:rsidRPr="00183207">
        <w:rPr>
          <w:sz w:val="20"/>
          <w:szCs w:val="20"/>
          <w:lang w:val="en-US"/>
        </w:rPr>
        <w:t>Eysenck</w:t>
      </w:r>
      <w:proofErr w:type="spellEnd"/>
      <w:r w:rsidR="00007BF5" w:rsidRPr="00183207">
        <w:rPr>
          <w:sz w:val="20"/>
          <w:szCs w:val="20"/>
          <w:lang w:val="en-US"/>
        </w:rPr>
        <w:t xml:space="preserve"> (</w:t>
      </w:r>
      <w:proofErr w:type="spellStart"/>
      <w:r w:rsidR="00007BF5" w:rsidRPr="00183207">
        <w:rPr>
          <w:sz w:val="20"/>
          <w:szCs w:val="20"/>
          <w:lang w:val="en-US"/>
        </w:rPr>
        <w:t>Alexopoulos</w:t>
      </w:r>
      <w:proofErr w:type="spellEnd"/>
      <w:r w:rsidR="00007BF5" w:rsidRPr="00183207">
        <w:rPr>
          <w:sz w:val="20"/>
          <w:szCs w:val="20"/>
          <w:lang w:val="en-US"/>
        </w:rPr>
        <w:t xml:space="preserve"> &amp; </w:t>
      </w:r>
      <w:proofErr w:type="spellStart"/>
      <w:r w:rsidR="00007BF5" w:rsidRPr="00183207">
        <w:rPr>
          <w:sz w:val="20"/>
          <w:szCs w:val="20"/>
          <w:lang w:val="en-US"/>
        </w:rPr>
        <w:t>Kalaitzidis</w:t>
      </w:r>
      <w:proofErr w:type="spellEnd"/>
      <w:r w:rsidR="00007BF5" w:rsidRPr="00183207">
        <w:rPr>
          <w:sz w:val="20"/>
          <w:szCs w:val="20"/>
          <w:lang w:val="en-US"/>
        </w:rPr>
        <w:t>, 2004)</w:t>
      </w:r>
      <w:r w:rsidR="0075496F" w:rsidRPr="00183207">
        <w:rPr>
          <w:sz w:val="20"/>
          <w:szCs w:val="20"/>
          <w:lang w:val="en-US"/>
        </w:rPr>
        <w:t xml:space="preserve">.  </w:t>
      </w:r>
      <w:r w:rsidR="00007BF5" w:rsidRPr="00183207">
        <w:rPr>
          <w:sz w:val="20"/>
          <w:szCs w:val="20"/>
          <w:lang w:val="en-US"/>
        </w:rPr>
        <w:t>The questionnaire contained 48 questions, 12 questions in each of the 4 scales which measure introversion/extraversion (E), neuroticism (N), psychoticism (P) and lie (L).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US"/>
        </w:rPr>
      </w:pPr>
    </w:p>
    <w:p w:rsidR="005F28FC" w:rsidRPr="00183207" w:rsidRDefault="00286576" w:rsidP="00183207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proofErr w:type="gramStart"/>
      <w:r w:rsidRPr="00183207">
        <w:rPr>
          <w:i/>
          <w:sz w:val="20"/>
          <w:szCs w:val="20"/>
          <w:lang w:val="en-US"/>
        </w:rPr>
        <w:t>Reliability</w:t>
      </w:r>
      <w:r w:rsidR="00894FE8" w:rsidRPr="00183207">
        <w:rPr>
          <w:b/>
          <w:i/>
          <w:sz w:val="20"/>
          <w:szCs w:val="20"/>
          <w:lang w:val="en-US"/>
        </w:rPr>
        <w:t>.</w:t>
      </w:r>
      <w:proofErr w:type="gramEnd"/>
      <w:r w:rsidR="00894FE8" w:rsidRPr="00183207">
        <w:rPr>
          <w:b/>
          <w:sz w:val="20"/>
          <w:szCs w:val="20"/>
          <w:lang w:val="en-US"/>
        </w:rPr>
        <w:t xml:space="preserve"> </w:t>
      </w:r>
      <w:r w:rsidR="00F902E2" w:rsidRPr="00183207">
        <w:rPr>
          <w:sz w:val="20"/>
          <w:szCs w:val="20"/>
          <w:lang w:val="en-US" w:eastAsia="en-US"/>
        </w:rPr>
        <w:t xml:space="preserve">With reference to typical population, the reliability and validity of the questionnaire were previously examined in </w:t>
      </w:r>
      <w:proofErr w:type="spellStart"/>
      <w:r w:rsidR="007E5F92" w:rsidRPr="00183207">
        <w:rPr>
          <w:sz w:val="20"/>
          <w:szCs w:val="20"/>
          <w:lang w:val="en-US"/>
        </w:rPr>
        <w:t>Alexopoulos</w:t>
      </w:r>
      <w:proofErr w:type="spellEnd"/>
      <w:r w:rsidR="007E5F92" w:rsidRPr="00183207">
        <w:rPr>
          <w:sz w:val="20"/>
          <w:szCs w:val="20"/>
          <w:lang w:val="en-US"/>
        </w:rPr>
        <w:t xml:space="preserve"> and </w:t>
      </w:r>
      <w:proofErr w:type="spellStart"/>
      <w:r w:rsidR="007E5F92" w:rsidRPr="00183207">
        <w:rPr>
          <w:sz w:val="20"/>
          <w:szCs w:val="20"/>
          <w:lang w:val="en-US"/>
        </w:rPr>
        <w:t>Kalaitzidis’s</w:t>
      </w:r>
      <w:proofErr w:type="spellEnd"/>
      <w:r w:rsidR="007E5F92" w:rsidRPr="00183207">
        <w:rPr>
          <w:sz w:val="20"/>
          <w:szCs w:val="20"/>
          <w:lang w:val="en-US"/>
        </w:rPr>
        <w:t xml:space="preserve"> </w:t>
      </w:r>
      <w:r w:rsidR="007E5F92" w:rsidRPr="00183207">
        <w:rPr>
          <w:sz w:val="20"/>
          <w:szCs w:val="20"/>
          <w:lang w:val="en-US" w:eastAsia="en-US"/>
        </w:rPr>
        <w:t>study (2004)</w:t>
      </w:r>
      <w:r w:rsidR="0075496F" w:rsidRPr="00183207">
        <w:rPr>
          <w:sz w:val="20"/>
          <w:szCs w:val="20"/>
          <w:lang w:val="en-US"/>
        </w:rPr>
        <w:t xml:space="preserve">.  </w:t>
      </w:r>
      <w:r w:rsidR="005F28FC" w:rsidRPr="00183207">
        <w:rPr>
          <w:rFonts w:eastAsia="Calibri"/>
          <w:sz w:val="20"/>
          <w:szCs w:val="20"/>
          <w:lang w:eastAsia="en-US"/>
        </w:rPr>
        <w:t>Τ</w:t>
      </w:r>
      <w:r w:rsidR="005F28FC" w:rsidRPr="00183207">
        <w:rPr>
          <w:rFonts w:eastAsia="Calibri"/>
          <w:sz w:val="20"/>
          <w:szCs w:val="20"/>
          <w:lang w:val="en-US" w:eastAsia="en-US"/>
        </w:rPr>
        <w:t>he internal consistency reliabilities (</w:t>
      </w:r>
      <w:proofErr w:type="spellStart"/>
      <w:r w:rsidR="005F28FC" w:rsidRPr="00183207">
        <w:rPr>
          <w:rFonts w:eastAsia="Calibri"/>
          <w:sz w:val="20"/>
          <w:szCs w:val="20"/>
          <w:lang w:val="en-US" w:eastAsia="en-US"/>
        </w:rPr>
        <w:t>Cronbach’s</w:t>
      </w:r>
      <w:proofErr w:type="spellEnd"/>
      <w:r w:rsidR="005F28FC" w:rsidRPr="00183207">
        <w:rPr>
          <w:rFonts w:eastAsia="Calibri"/>
          <w:sz w:val="20"/>
          <w:szCs w:val="20"/>
          <w:lang w:val="en-US" w:eastAsia="en-US"/>
        </w:rPr>
        <w:t xml:space="preserve"> alpha) </w:t>
      </w:r>
      <w:r w:rsidR="001A351E" w:rsidRPr="00183207">
        <w:rPr>
          <w:bCs/>
          <w:sz w:val="20"/>
          <w:szCs w:val="20"/>
          <w:lang w:val="en-US"/>
        </w:rPr>
        <w:t>regarding</w:t>
      </w:r>
      <w:r w:rsidR="001A351E" w:rsidRPr="00183207">
        <w:rPr>
          <w:rFonts w:eastAsia="Calibri"/>
          <w:sz w:val="20"/>
          <w:szCs w:val="20"/>
          <w:lang w:val="en-US" w:eastAsia="en-US"/>
        </w:rPr>
        <w:t xml:space="preserve"> P, E, N, and L, </w:t>
      </w:r>
      <w:r w:rsidR="001A351E" w:rsidRPr="00183207">
        <w:rPr>
          <w:iCs/>
          <w:sz w:val="20"/>
          <w:szCs w:val="20"/>
          <w:lang w:val="en-GB"/>
        </w:rPr>
        <w:t>respectively, were as follows:</w:t>
      </w:r>
      <w:r w:rsidR="001A351E" w:rsidRPr="00183207">
        <w:rPr>
          <w:bCs/>
          <w:sz w:val="20"/>
          <w:szCs w:val="20"/>
          <w:lang w:val="en-US"/>
        </w:rPr>
        <w:t xml:space="preserve"> </w:t>
      </w:r>
      <w:r w:rsidR="001A351E" w:rsidRPr="00183207">
        <w:rPr>
          <w:bCs/>
          <w:i/>
          <w:sz w:val="20"/>
          <w:szCs w:val="20"/>
        </w:rPr>
        <w:t>α</w:t>
      </w:r>
      <w:r w:rsidR="001A351E" w:rsidRPr="00183207">
        <w:rPr>
          <w:bCs/>
          <w:i/>
          <w:sz w:val="20"/>
          <w:szCs w:val="20"/>
          <w:lang w:val="en-US"/>
        </w:rPr>
        <w:t xml:space="preserve"> =</w:t>
      </w:r>
      <w:r w:rsidR="001A351E" w:rsidRPr="00183207">
        <w:rPr>
          <w:bCs/>
          <w:sz w:val="20"/>
          <w:szCs w:val="20"/>
          <w:lang w:val="en-US"/>
        </w:rPr>
        <w:t xml:space="preserve"> .47, </w:t>
      </w:r>
      <w:r w:rsidR="001A351E" w:rsidRPr="00183207">
        <w:rPr>
          <w:bCs/>
          <w:i/>
          <w:sz w:val="20"/>
          <w:szCs w:val="20"/>
        </w:rPr>
        <w:t>α</w:t>
      </w:r>
      <w:r w:rsidR="001A351E" w:rsidRPr="00183207">
        <w:rPr>
          <w:bCs/>
          <w:i/>
          <w:sz w:val="20"/>
          <w:szCs w:val="20"/>
          <w:lang w:val="en-US"/>
        </w:rPr>
        <w:t xml:space="preserve"> =</w:t>
      </w:r>
      <w:r w:rsidR="001A351E" w:rsidRPr="00183207">
        <w:rPr>
          <w:bCs/>
          <w:sz w:val="20"/>
          <w:szCs w:val="20"/>
          <w:lang w:val="en-US"/>
        </w:rPr>
        <w:t xml:space="preserve"> .78, </w:t>
      </w:r>
      <w:r w:rsidR="001A351E" w:rsidRPr="00183207">
        <w:rPr>
          <w:bCs/>
          <w:i/>
          <w:sz w:val="20"/>
          <w:szCs w:val="20"/>
        </w:rPr>
        <w:t>α</w:t>
      </w:r>
      <w:r w:rsidR="001A351E" w:rsidRPr="00183207">
        <w:rPr>
          <w:bCs/>
          <w:i/>
          <w:sz w:val="20"/>
          <w:szCs w:val="20"/>
          <w:lang w:val="en-US"/>
        </w:rPr>
        <w:t xml:space="preserve"> =</w:t>
      </w:r>
      <w:r w:rsidR="001A351E" w:rsidRPr="00183207">
        <w:rPr>
          <w:bCs/>
          <w:sz w:val="20"/>
          <w:szCs w:val="20"/>
          <w:lang w:val="en-US"/>
        </w:rPr>
        <w:t xml:space="preserve"> .73, and </w:t>
      </w:r>
      <w:r w:rsidR="001A351E" w:rsidRPr="00183207">
        <w:rPr>
          <w:bCs/>
          <w:i/>
          <w:sz w:val="20"/>
          <w:szCs w:val="20"/>
        </w:rPr>
        <w:t>α</w:t>
      </w:r>
      <w:r w:rsidR="001A351E" w:rsidRPr="00183207">
        <w:rPr>
          <w:bCs/>
          <w:i/>
          <w:sz w:val="20"/>
          <w:szCs w:val="20"/>
          <w:lang w:val="en-US"/>
        </w:rPr>
        <w:t xml:space="preserve"> =</w:t>
      </w:r>
      <w:r w:rsidR="001A351E" w:rsidRPr="00183207">
        <w:rPr>
          <w:bCs/>
          <w:sz w:val="20"/>
          <w:szCs w:val="20"/>
          <w:lang w:val="en-US"/>
        </w:rPr>
        <w:t xml:space="preserve"> .69</w:t>
      </w:r>
      <w:r w:rsidR="0075496F" w:rsidRPr="00183207">
        <w:rPr>
          <w:bCs/>
          <w:sz w:val="20"/>
          <w:szCs w:val="20"/>
          <w:lang w:val="en-US"/>
        </w:rPr>
        <w:t xml:space="preserve">.  </w:t>
      </w:r>
      <w:r w:rsidR="005F28FC" w:rsidRPr="00183207">
        <w:rPr>
          <w:rFonts w:eastAsia="Calibri"/>
          <w:sz w:val="20"/>
          <w:szCs w:val="20"/>
          <w:lang w:val="en-US" w:eastAsia="en-US"/>
        </w:rPr>
        <w:t xml:space="preserve">Test–retest correlations were </w:t>
      </w:r>
      <w:r w:rsidR="001A351E" w:rsidRPr="00183207">
        <w:rPr>
          <w:rFonts w:eastAsia="Calibri"/>
          <w:sz w:val="20"/>
          <w:szCs w:val="20"/>
          <w:lang w:val="en-US" w:eastAsia="en-US"/>
        </w:rPr>
        <w:t xml:space="preserve">0.44 for P, </w:t>
      </w:r>
      <w:r w:rsidR="005F28FC" w:rsidRPr="00183207">
        <w:rPr>
          <w:rFonts w:eastAsia="Calibri"/>
          <w:sz w:val="20"/>
          <w:szCs w:val="20"/>
          <w:lang w:val="en-US" w:eastAsia="en-US"/>
        </w:rPr>
        <w:t>0.</w:t>
      </w:r>
      <w:r w:rsidR="00F3710A" w:rsidRPr="00183207">
        <w:rPr>
          <w:rFonts w:eastAsia="Calibri"/>
          <w:sz w:val="20"/>
          <w:szCs w:val="20"/>
          <w:lang w:val="en-US" w:eastAsia="en-US"/>
        </w:rPr>
        <w:t>92</w:t>
      </w:r>
      <w:r w:rsidR="005F28FC" w:rsidRPr="00183207">
        <w:rPr>
          <w:rFonts w:eastAsia="Calibri"/>
          <w:sz w:val="20"/>
          <w:szCs w:val="20"/>
          <w:lang w:val="en-US" w:eastAsia="en-US"/>
        </w:rPr>
        <w:t xml:space="preserve"> for E, 0.</w:t>
      </w:r>
      <w:r w:rsidR="00F3710A" w:rsidRPr="00183207">
        <w:rPr>
          <w:rFonts w:eastAsia="Calibri"/>
          <w:sz w:val="20"/>
          <w:szCs w:val="20"/>
          <w:lang w:val="en-US" w:eastAsia="en-US"/>
        </w:rPr>
        <w:t>91</w:t>
      </w:r>
      <w:r w:rsidR="005F28FC" w:rsidRPr="00183207">
        <w:rPr>
          <w:rFonts w:eastAsia="Calibri"/>
          <w:sz w:val="20"/>
          <w:szCs w:val="20"/>
          <w:lang w:val="en-US" w:eastAsia="en-US"/>
        </w:rPr>
        <w:t xml:space="preserve"> for N, </w:t>
      </w:r>
      <w:r w:rsidR="00F3710A" w:rsidRPr="00183207">
        <w:rPr>
          <w:rFonts w:eastAsia="Calibri"/>
          <w:sz w:val="20"/>
          <w:szCs w:val="20"/>
          <w:lang w:val="en-US" w:eastAsia="en-US"/>
        </w:rPr>
        <w:t xml:space="preserve">and 0.87 for L, </w:t>
      </w:r>
      <w:r w:rsidR="005F28FC" w:rsidRPr="00183207">
        <w:rPr>
          <w:bCs/>
          <w:sz w:val="20"/>
          <w:szCs w:val="20"/>
          <w:lang w:val="en-US"/>
        </w:rPr>
        <w:t>respectively.</w:t>
      </w:r>
    </w:p>
    <w:p w:rsidR="007E5F92" w:rsidRPr="00183207" w:rsidRDefault="00375563" w:rsidP="00183207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r w:rsidRPr="00183207">
        <w:rPr>
          <w:rFonts w:eastAsia="Calibri"/>
          <w:sz w:val="20"/>
          <w:szCs w:val="20"/>
          <w:lang w:val="en-US" w:eastAsia="en-US"/>
        </w:rPr>
        <w:lastRenderedPageBreak/>
        <w:t>In the present study, t</w:t>
      </w:r>
      <w:r w:rsidR="007E5F92" w:rsidRPr="00183207">
        <w:rPr>
          <w:rFonts w:eastAsia="Calibri"/>
          <w:sz w:val="20"/>
          <w:szCs w:val="20"/>
          <w:lang w:val="en-US" w:eastAsia="en-US"/>
        </w:rPr>
        <w:t>he internal consistency reliabilities (</w:t>
      </w:r>
      <w:proofErr w:type="spellStart"/>
      <w:r w:rsidR="007E5F92" w:rsidRPr="00183207">
        <w:rPr>
          <w:rFonts w:eastAsia="Calibri"/>
          <w:sz w:val="20"/>
          <w:szCs w:val="20"/>
          <w:lang w:val="en-US" w:eastAsia="en-US"/>
        </w:rPr>
        <w:t>Cronbach’s</w:t>
      </w:r>
      <w:proofErr w:type="spellEnd"/>
      <w:r w:rsidR="007E5F92" w:rsidRPr="00183207">
        <w:rPr>
          <w:rFonts w:eastAsia="Calibri"/>
          <w:sz w:val="20"/>
          <w:szCs w:val="20"/>
          <w:lang w:val="en-US" w:eastAsia="en-US"/>
        </w:rPr>
        <w:t xml:space="preserve"> alpha), for the sample of adults with visual impairments were 0.</w:t>
      </w:r>
      <w:r w:rsidR="007E5F92" w:rsidRPr="00183207">
        <w:rPr>
          <w:bCs/>
          <w:sz w:val="20"/>
          <w:szCs w:val="20"/>
          <w:lang w:val="en-US"/>
        </w:rPr>
        <w:t xml:space="preserve">42 for P, 0.83 for E, </w:t>
      </w:r>
      <w:r w:rsidR="001A351E" w:rsidRPr="00183207">
        <w:rPr>
          <w:bCs/>
          <w:sz w:val="20"/>
          <w:szCs w:val="20"/>
          <w:lang w:val="en-US"/>
        </w:rPr>
        <w:t xml:space="preserve">0.71 for N, </w:t>
      </w:r>
      <w:r w:rsidR="007E5F92" w:rsidRPr="00183207">
        <w:rPr>
          <w:bCs/>
          <w:sz w:val="20"/>
          <w:szCs w:val="20"/>
          <w:lang w:val="en-US"/>
        </w:rPr>
        <w:t>and 0.73 for L, respectively</w:t>
      </w:r>
      <w:r w:rsidR="0075496F" w:rsidRPr="00183207">
        <w:rPr>
          <w:bCs/>
          <w:sz w:val="20"/>
          <w:szCs w:val="20"/>
          <w:lang w:val="en-US"/>
        </w:rPr>
        <w:t xml:space="preserve">.  </w:t>
      </w:r>
      <w:r w:rsidR="007E5F92" w:rsidRPr="00183207">
        <w:rPr>
          <w:rFonts w:eastAsia="Calibri"/>
          <w:sz w:val="20"/>
          <w:szCs w:val="20"/>
          <w:lang w:val="en-US" w:eastAsia="en-US"/>
        </w:rPr>
        <w:t>Moreover, test–retest correlations were computed for part of the sample of adults with visual impairments</w:t>
      </w:r>
      <w:r w:rsidR="0075496F" w:rsidRPr="00183207">
        <w:rPr>
          <w:rFonts w:eastAsia="Calibri"/>
          <w:sz w:val="20"/>
          <w:szCs w:val="20"/>
          <w:lang w:val="en-US" w:eastAsia="en-US"/>
        </w:rPr>
        <w:t xml:space="preserve">.  </w:t>
      </w:r>
      <w:r w:rsidR="007E5F92" w:rsidRPr="00183207">
        <w:rPr>
          <w:rFonts w:eastAsia="Calibri"/>
          <w:sz w:val="20"/>
          <w:szCs w:val="20"/>
          <w:lang w:val="en-US" w:eastAsia="en-US"/>
        </w:rPr>
        <w:t xml:space="preserve">Test–retest correlations were </w:t>
      </w:r>
      <w:r w:rsidR="001A351E" w:rsidRPr="00183207">
        <w:rPr>
          <w:rFonts w:eastAsia="Calibri"/>
          <w:sz w:val="20"/>
          <w:szCs w:val="20"/>
          <w:lang w:val="en-US" w:eastAsia="en-US"/>
        </w:rPr>
        <w:t xml:space="preserve">0.50 for P, </w:t>
      </w:r>
      <w:r w:rsidR="007E5F92" w:rsidRPr="00183207">
        <w:rPr>
          <w:rFonts w:eastAsia="Calibri"/>
          <w:sz w:val="20"/>
          <w:szCs w:val="20"/>
          <w:lang w:val="en-US" w:eastAsia="en-US"/>
        </w:rPr>
        <w:t>0.8</w:t>
      </w:r>
      <w:r w:rsidR="001A351E" w:rsidRPr="00183207">
        <w:rPr>
          <w:rFonts w:eastAsia="Calibri"/>
          <w:sz w:val="20"/>
          <w:szCs w:val="20"/>
          <w:lang w:val="en-US" w:eastAsia="en-US"/>
        </w:rPr>
        <w:t>9</w:t>
      </w:r>
      <w:r w:rsidR="007E5F92" w:rsidRPr="00183207">
        <w:rPr>
          <w:rFonts w:eastAsia="Calibri"/>
          <w:sz w:val="20"/>
          <w:szCs w:val="20"/>
          <w:lang w:val="en-US" w:eastAsia="en-US"/>
        </w:rPr>
        <w:t xml:space="preserve"> f</w:t>
      </w:r>
      <w:r w:rsidR="001A351E" w:rsidRPr="00183207">
        <w:rPr>
          <w:rFonts w:eastAsia="Calibri"/>
          <w:sz w:val="20"/>
          <w:szCs w:val="20"/>
          <w:lang w:val="en-US" w:eastAsia="en-US"/>
        </w:rPr>
        <w:t>or E, 0.88 for N, and 0.81 for L</w:t>
      </w:r>
      <w:r w:rsidR="007E5F92" w:rsidRPr="00183207">
        <w:rPr>
          <w:rFonts w:eastAsia="Calibri"/>
          <w:sz w:val="20"/>
          <w:szCs w:val="20"/>
          <w:lang w:val="en-US" w:eastAsia="en-US"/>
        </w:rPr>
        <w:t xml:space="preserve">, </w:t>
      </w:r>
      <w:r w:rsidR="007E5F92" w:rsidRPr="00183207">
        <w:rPr>
          <w:bCs/>
          <w:sz w:val="20"/>
          <w:szCs w:val="20"/>
          <w:lang w:val="en-US"/>
        </w:rPr>
        <w:t>respectively.</w:t>
      </w:r>
    </w:p>
    <w:p w:rsidR="00183207" w:rsidRDefault="00183207" w:rsidP="00183207">
      <w:pPr>
        <w:jc w:val="both"/>
        <w:rPr>
          <w:i/>
          <w:iCs/>
          <w:sz w:val="20"/>
          <w:szCs w:val="20"/>
          <w:lang w:val="en-US"/>
        </w:rPr>
      </w:pPr>
    </w:p>
    <w:p w:rsidR="00F86BA4" w:rsidRPr="00183207" w:rsidRDefault="00F86BA4" w:rsidP="00183207">
      <w:pPr>
        <w:jc w:val="both"/>
        <w:rPr>
          <w:i/>
          <w:iCs/>
          <w:sz w:val="20"/>
          <w:szCs w:val="20"/>
          <w:lang w:val="en-US"/>
        </w:rPr>
      </w:pPr>
      <w:r w:rsidRPr="00183207">
        <w:rPr>
          <w:i/>
          <w:iCs/>
          <w:sz w:val="20"/>
          <w:szCs w:val="20"/>
          <w:lang w:val="en-US"/>
        </w:rPr>
        <w:t>Procedure</w:t>
      </w:r>
    </w:p>
    <w:p w:rsidR="00F86BA4" w:rsidRPr="00183207" w:rsidRDefault="00F86BA4" w:rsidP="00183207">
      <w:pPr>
        <w:jc w:val="both"/>
        <w:rPr>
          <w:sz w:val="20"/>
          <w:szCs w:val="20"/>
          <w:lang w:val="en-US"/>
        </w:rPr>
      </w:pPr>
      <w:r w:rsidRPr="00183207">
        <w:rPr>
          <w:color w:val="000000"/>
          <w:sz w:val="20"/>
          <w:szCs w:val="20"/>
          <w:lang w:val="en-US"/>
        </w:rPr>
        <w:t>In the present study, the ethical principles of Declaration of Helsinki (World Medical Association, 2010) were followed</w:t>
      </w:r>
      <w:r w:rsidR="0075496F" w:rsidRPr="00183207">
        <w:rPr>
          <w:color w:val="000000"/>
          <w:sz w:val="20"/>
          <w:szCs w:val="20"/>
          <w:lang w:val="en-US"/>
        </w:rPr>
        <w:t xml:space="preserve">.  </w:t>
      </w:r>
      <w:r w:rsidRPr="00183207">
        <w:rPr>
          <w:color w:val="000000"/>
          <w:sz w:val="20"/>
          <w:szCs w:val="20"/>
          <w:lang w:val="en-US"/>
        </w:rPr>
        <w:t xml:space="preserve">Additionally, consent was obtained from the individuals, using the appropriate forms and according to the procedure suggested </w:t>
      </w:r>
      <w:r w:rsidRPr="00183207">
        <w:rPr>
          <w:sz w:val="20"/>
          <w:szCs w:val="20"/>
          <w:lang w:val="en-US"/>
        </w:rPr>
        <w:t>by the World Medical Association (2010).</w:t>
      </w:r>
    </w:p>
    <w:p w:rsidR="00183207" w:rsidRDefault="00183207" w:rsidP="00183207">
      <w:pPr>
        <w:jc w:val="both"/>
        <w:rPr>
          <w:sz w:val="20"/>
          <w:szCs w:val="20"/>
          <w:lang w:val="en-US" w:eastAsia="en-US"/>
        </w:rPr>
      </w:pPr>
    </w:p>
    <w:p w:rsidR="00FF12ED" w:rsidRPr="00183207" w:rsidRDefault="00F86BA4" w:rsidP="00183207">
      <w:pPr>
        <w:jc w:val="both"/>
        <w:rPr>
          <w:sz w:val="20"/>
          <w:szCs w:val="20"/>
          <w:lang w:val="en-US" w:eastAsia="en-US"/>
        </w:rPr>
      </w:pPr>
      <w:r w:rsidRPr="00183207">
        <w:rPr>
          <w:sz w:val="20"/>
          <w:szCs w:val="20"/>
          <w:lang w:val="en-US" w:eastAsia="en-US"/>
        </w:rPr>
        <w:t>The researcher was experienced in conducting reviews to individuals with visual impairments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Pr="00183207">
        <w:rPr>
          <w:sz w:val="20"/>
          <w:szCs w:val="20"/>
          <w:lang w:val="en-US" w:eastAsia="en-US"/>
        </w:rPr>
        <w:t xml:space="preserve">The researcher read out the questions to each participant </w:t>
      </w:r>
      <w:r w:rsidR="00CA6542" w:rsidRPr="00183207">
        <w:rPr>
          <w:sz w:val="20"/>
          <w:szCs w:val="20"/>
          <w:lang w:val="en-US" w:eastAsia="en-US"/>
        </w:rPr>
        <w:t xml:space="preserve">(sighted or participant with visual impairments) </w:t>
      </w:r>
      <w:r w:rsidRPr="00183207">
        <w:rPr>
          <w:sz w:val="20"/>
          <w:szCs w:val="20"/>
          <w:lang w:val="en-US" w:eastAsia="en-US"/>
        </w:rPr>
        <w:t>separately and then he wrote down the answers given by the participant</w:t>
      </w:r>
      <w:r w:rsidR="0075496F" w:rsidRPr="00183207">
        <w:rPr>
          <w:sz w:val="20"/>
          <w:szCs w:val="20"/>
          <w:lang w:val="en-US" w:eastAsia="en-US"/>
        </w:rPr>
        <w:t xml:space="preserve">.  </w:t>
      </w:r>
      <w:r w:rsidRPr="00183207">
        <w:rPr>
          <w:sz w:val="20"/>
          <w:szCs w:val="20"/>
          <w:lang w:val="en-US" w:eastAsia="en-US"/>
        </w:rPr>
        <w:t>Each participant was alone with the reviewer in a quiet room during the procedure</w:t>
      </w:r>
      <w:r w:rsidR="0075496F" w:rsidRPr="00183207">
        <w:rPr>
          <w:sz w:val="20"/>
          <w:szCs w:val="20"/>
          <w:lang w:val="en-US" w:eastAsia="en-US"/>
        </w:rPr>
        <w:t xml:space="preserve">.  </w:t>
      </w:r>
    </w:p>
    <w:p w:rsidR="00183207" w:rsidRDefault="00183207" w:rsidP="00183207">
      <w:pPr>
        <w:jc w:val="both"/>
        <w:rPr>
          <w:b/>
          <w:bCs/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b/>
          <w:bCs/>
          <w:sz w:val="20"/>
          <w:szCs w:val="20"/>
          <w:lang w:val="en-US"/>
        </w:rPr>
      </w:pPr>
      <w:r w:rsidRPr="00183207">
        <w:rPr>
          <w:b/>
          <w:bCs/>
          <w:sz w:val="20"/>
          <w:szCs w:val="20"/>
          <w:lang w:val="en-US"/>
        </w:rPr>
        <w:t>Results</w:t>
      </w:r>
    </w:p>
    <w:p w:rsidR="005F2B41" w:rsidRPr="00183207" w:rsidRDefault="005F2B41" w:rsidP="00183207">
      <w:pPr>
        <w:jc w:val="both"/>
        <w:rPr>
          <w:i/>
          <w:sz w:val="20"/>
          <w:szCs w:val="20"/>
          <w:lang w:val="en-US"/>
        </w:rPr>
      </w:pPr>
      <w:r w:rsidRPr="00183207">
        <w:rPr>
          <w:i/>
          <w:sz w:val="20"/>
          <w:szCs w:val="20"/>
          <w:lang w:val="en-US"/>
        </w:rPr>
        <w:t>Differences between the groups</w:t>
      </w:r>
    </w:p>
    <w:p w:rsidR="00183207" w:rsidRDefault="00E37EF8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T</w:t>
      </w:r>
      <w:r w:rsidR="009A4CE9" w:rsidRPr="00183207">
        <w:rPr>
          <w:sz w:val="20"/>
          <w:szCs w:val="20"/>
          <w:lang w:val="en-US"/>
        </w:rPr>
        <w:t xml:space="preserve">he means and the standard deviations of the 4 scales (P, N, E, </w:t>
      </w:r>
      <w:r w:rsidR="00A373FE" w:rsidRPr="00183207">
        <w:rPr>
          <w:sz w:val="20"/>
          <w:szCs w:val="20"/>
          <w:lang w:val="en-US"/>
        </w:rPr>
        <w:t xml:space="preserve">and </w:t>
      </w:r>
      <w:r w:rsidR="009A4CE9" w:rsidRPr="00183207">
        <w:rPr>
          <w:sz w:val="20"/>
          <w:szCs w:val="20"/>
          <w:lang w:val="en-US"/>
        </w:rPr>
        <w:t>L) of the EPQ-R Short Scale were calculated for each group of participants separately (see Table 1) based on the condition of their eyesight (sighted, individuals with blindness, individuals with low vision).</w:t>
      </w:r>
      <w:r w:rsidR="00FF12ED" w:rsidRPr="00183207">
        <w:rPr>
          <w:sz w:val="20"/>
          <w:szCs w:val="20"/>
          <w:lang w:val="en-US"/>
        </w:rPr>
        <w:t xml:space="preserve">   </w:t>
      </w:r>
    </w:p>
    <w:p w:rsidR="00183207" w:rsidRDefault="00183207" w:rsidP="00183207">
      <w:pPr>
        <w:jc w:val="both"/>
        <w:rPr>
          <w:i/>
          <w:sz w:val="20"/>
          <w:szCs w:val="20"/>
          <w:lang w:val="en-US"/>
        </w:rPr>
      </w:pPr>
    </w:p>
    <w:p w:rsidR="00183207" w:rsidRPr="00183207" w:rsidRDefault="00183207" w:rsidP="00183207">
      <w:pPr>
        <w:jc w:val="center"/>
        <w:rPr>
          <w:b/>
          <w:sz w:val="20"/>
          <w:szCs w:val="20"/>
          <w:lang w:val="en-US"/>
        </w:rPr>
      </w:pPr>
      <w:r w:rsidRPr="00183207">
        <w:rPr>
          <w:b/>
          <w:sz w:val="20"/>
          <w:szCs w:val="20"/>
          <w:lang w:val="en-US"/>
        </w:rPr>
        <w:t>Table 1</w:t>
      </w:r>
      <w:r w:rsidR="00073FD6">
        <w:rPr>
          <w:b/>
          <w:sz w:val="20"/>
          <w:szCs w:val="20"/>
          <w:lang w:val="en-US"/>
        </w:rPr>
        <w:t xml:space="preserve"> </w:t>
      </w:r>
      <w:r w:rsidR="00FF12ED" w:rsidRPr="00183207">
        <w:rPr>
          <w:b/>
          <w:sz w:val="20"/>
          <w:szCs w:val="20"/>
          <w:lang w:val="en-US"/>
        </w:rPr>
        <w:t>Means and Standard Deviations in Relation to Vision Status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330"/>
        <w:gridCol w:w="894"/>
        <w:gridCol w:w="1003"/>
        <w:gridCol w:w="850"/>
        <w:gridCol w:w="993"/>
        <w:gridCol w:w="992"/>
        <w:gridCol w:w="850"/>
        <w:gridCol w:w="974"/>
        <w:gridCol w:w="636"/>
      </w:tblGrid>
      <w:tr w:rsidR="00FF12ED" w:rsidRPr="00183207" w:rsidTr="00E12032"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nil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nil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L</w:t>
            </w:r>
          </w:p>
        </w:tc>
      </w:tr>
      <w:tr w:rsidR="00FF12ED" w:rsidRPr="00183207" w:rsidTr="00E12032"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SD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SD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SD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vAlign w:val="center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SD</w:t>
            </w:r>
          </w:p>
        </w:tc>
      </w:tr>
      <w:tr w:rsidR="00FF12ED" w:rsidRPr="00183207" w:rsidTr="00E12032">
        <w:tc>
          <w:tcPr>
            <w:tcW w:w="1330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183207">
              <w:rPr>
                <w:bCs/>
                <w:iCs/>
                <w:sz w:val="20"/>
                <w:szCs w:val="20"/>
                <w:lang w:val="en-US"/>
              </w:rPr>
              <w:t>Blindness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3.40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1.63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5.23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7.80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3.55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3207">
              <w:rPr>
                <w:b/>
                <w:bCs/>
                <w:sz w:val="20"/>
                <w:szCs w:val="20"/>
                <w:lang w:val="en-US"/>
              </w:rPr>
              <w:t>6.20*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2.93</w:t>
            </w:r>
          </w:p>
        </w:tc>
      </w:tr>
      <w:tr w:rsidR="00FF12ED" w:rsidRPr="00183207" w:rsidTr="00E12032">
        <w:tc>
          <w:tcPr>
            <w:tcW w:w="1330" w:type="dxa"/>
          </w:tcPr>
          <w:p w:rsidR="00FF12ED" w:rsidRPr="00183207" w:rsidRDefault="00FF12ED" w:rsidP="00183207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183207">
              <w:rPr>
                <w:bCs/>
                <w:iCs/>
                <w:sz w:val="20"/>
                <w:szCs w:val="20"/>
                <w:lang w:val="en-US"/>
              </w:rPr>
              <w:t>Low vision</w:t>
            </w:r>
          </w:p>
        </w:tc>
        <w:tc>
          <w:tcPr>
            <w:tcW w:w="894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3.07</w:t>
            </w:r>
          </w:p>
        </w:tc>
        <w:tc>
          <w:tcPr>
            <w:tcW w:w="1003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1.44</w:t>
            </w:r>
          </w:p>
        </w:tc>
        <w:tc>
          <w:tcPr>
            <w:tcW w:w="850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4.88</w:t>
            </w:r>
          </w:p>
        </w:tc>
        <w:tc>
          <w:tcPr>
            <w:tcW w:w="993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2.32</w:t>
            </w:r>
          </w:p>
        </w:tc>
        <w:tc>
          <w:tcPr>
            <w:tcW w:w="992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8.08</w:t>
            </w:r>
          </w:p>
        </w:tc>
        <w:tc>
          <w:tcPr>
            <w:tcW w:w="850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3.02</w:t>
            </w:r>
          </w:p>
        </w:tc>
        <w:tc>
          <w:tcPr>
            <w:tcW w:w="974" w:type="dxa"/>
          </w:tcPr>
          <w:p w:rsidR="00FF12ED" w:rsidRPr="00183207" w:rsidRDefault="00FF12ED" w:rsidP="0018320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3207">
              <w:rPr>
                <w:b/>
                <w:bCs/>
                <w:sz w:val="20"/>
                <w:szCs w:val="20"/>
                <w:lang w:val="en-US"/>
              </w:rPr>
              <w:t>6.33**</w:t>
            </w:r>
          </w:p>
        </w:tc>
        <w:tc>
          <w:tcPr>
            <w:tcW w:w="636" w:type="dxa"/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2.56</w:t>
            </w:r>
          </w:p>
        </w:tc>
      </w:tr>
      <w:tr w:rsidR="00FF12ED" w:rsidRPr="00183207" w:rsidTr="00E12032">
        <w:tc>
          <w:tcPr>
            <w:tcW w:w="1330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183207">
              <w:rPr>
                <w:bCs/>
                <w:iCs/>
                <w:sz w:val="20"/>
                <w:szCs w:val="20"/>
                <w:lang w:val="en-US"/>
              </w:rPr>
              <w:t>Vision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3.69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1.81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5.39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2.63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9.06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3.02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5.01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2.41</w:t>
            </w:r>
          </w:p>
        </w:tc>
      </w:tr>
    </w:tbl>
    <w:p w:rsidR="009A4CE9" w:rsidRPr="00183207" w:rsidRDefault="00FF12ED" w:rsidP="00183207">
      <w:pPr>
        <w:jc w:val="both"/>
        <w:rPr>
          <w:sz w:val="16"/>
          <w:szCs w:val="16"/>
          <w:lang w:val="en-US"/>
        </w:rPr>
      </w:pPr>
      <w:r w:rsidRPr="00183207">
        <w:rPr>
          <w:sz w:val="16"/>
          <w:szCs w:val="16"/>
          <w:lang w:val="en-US"/>
        </w:rPr>
        <w:t>*p &lt; 0.05, **p &lt; 0.01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The implementation of ANOVA showed that there are statistically significant differences amongst the three groups only in the L scale (</w:t>
      </w:r>
      <w:r w:rsidR="00AB0652" w:rsidRPr="00183207">
        <w:rPr>
          <w:i/>
          <w:sz w:val="20"/>
          <w:szCs w:val="20"/>
          <w:lang w:val="en-US"/>
        </w:rPr>
        <w:t xml:space="preserve">F = </w:t>
      </w:r>
      <w:r w:rsidR="00AB0652" w:rsidRPr="00183207">
        <w:rPr>
          <w:sz w:val="20"/>
          <w:szCs w:val="20"/>
          <w:lang w:val="en-US"/>
        </w:rPr>
        <w:t>4.</w:t>
      </w:r>
      <w:r w:rsidR="00A373FE" w:rsidRPr="00183207">
        <w:rPr>
          <w:sz w:val="20"/>
          <w:szCs w:val="20"/>
          <w:lang w:val="en-US"/>
        </w:rPr>
        <w:t>869</w:t>
      </w:r>
      <w:r w:rsidR="00AB0652"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&lt;.01)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 xml:space="preserve">The application of the </w:t>
      </w:r>
      <w:proofErr w:type="spellStart"/>
      <w:r w:rsidR="00A373FE" w:rsidRPr="00183207">
        <w:rPr>
          <w:sz w:val="20"/>
          <w:szCs w:val="20"/>
          <w:lang w:val="en-US"/>
        </w:rPr>
        <w:t>Bonferroni</w:t>
      </w:r>
      <w:proofErr w:type="spellEnd"/>
      <w:r w:rsidRPr="00183207">
        <w:rPr>
          <w:sz w:val="20"/>
          <w:szCs w:val="20"/>
          <w:lang w:val="en-US"/>
        </w:rPr>
        <w:t xml:space="preserve"> post-hoc test showed that the sighted adults have a lower score on the L scale, bot</w:t>
      </w:r>
      <w:r w:rsidR="001E7EEF" w:rsidRPr="00183207">
        <w:rPr>
          <w:sz w:val="20"/>
          <w:szCs w:val="20"/>
          <w:lang w:val="en-US"/>
        </w:rPr>
        <w:t>h from</w:t>
      </w:r>
      <w:r w:rsidRPr="00183207">
        <w:rPr>
          <w:sz w:val="20"/>
          <w:szCs w:val="20"/>
          <w:lang w:val="en-US"/>
        </w:rPr>
        <w:t xml:space="preserve"> adults </w:t>
      </w:r>
      <w:r w:rsidR="001E7EEF" w:rsidRPr="00183207">
        <w:rPr>
          <w:sz w:val="20"/>
          <w:szCs w:val="20"/>
          <w:lang w:val="en-US"/>
        </w:rPr>
        <w:t xml:space="preserve">with blindness </w:t>
      </w:r>
      <w:r w:rsidRPr="00183207">
        <w:rPr>
          <w:sz w:val="20"/>
          <w:szCs w:val="20"/>
          <w:lang w:val="en-US"/>
        </w:rPr>
        <w:t>(</w:t>
      </w:r>
      <w:r w:rsidR="00AB0652" w:rsidRPr="00183207">
        <w:rPr>
          <w:i/>
          <w:sz w:val="20"/>
          <w:szCs w:val="20"/>
          <w:lang w:val="en-US"/>
        </w:rPr>
        <w:t>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&lt;</w:t>
      </w:r>
      <w:r w:rsidR="003C5645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.05) as well as from adults with low vision (</w:t>
      </w:r>
      <w:r w:rsidR="00425405" w:rsidRPr="00183207">
        <w:rPr>
          <w:i/>
          <w:sz w:val="20"/>
          <w:szCs w:val="20"/>
          <w:lang w:val="en-US"/>
        </w:rPr>
        <w:t>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&lt;</w:t>
      </w:r>
      <w:r w:rsidR="003C5645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.01).</w:t>
      </w:r>
    </w:p>
    <w:p w:rsidR="00183207" w:rsidRDefault="00183207" w:rsidP="00183207">
      <w:pPr>
        <w:jc w:val="both"/>
        <w:rPr>
          <w:b/>
          <w:sz w:val="20"/>
          <w:szCs w:val="20"/>
          <w:lang w:val="en-US"/>
        </w:rPr>
      </w:pPr>
    </w:p>
    <w:p w:rsidR="00E37EF8" w:rsidRPr="00183207" w:rsidRDefault="005F2B41" w:rsidP="00183207">
      <w:pPr>
        <w:jc w:val="both"/>
        <w:rPr>
          <w:i/>
          <w:sz w:val="20"/>
          <w:szCs w:val="20"/>
          <w:lang w:val="en-US"/>
        </w:rPr>
      </w:pPr>
      <w:r w:rsidRPr="00183207">
        <w:rPr>
          <w:i/>
          <w:sz w:val="20"/>
          <w:szCs w:val="20"/>
          <w:lang w:val="en-US"/>
        </w:rPr>
        <w:t>Differences within the group of adults with visual impairments</w:t>
      </w:r>
    </w:p>
    <w:p w:rsidR="009A4CE9" w:rsidRPr="00183207" w:rsidRDefault="00E37EF8" w:rsidP="00183207">
      <w:pPr>
        <w:jc w:val="both"/>
        <w:rPr>
          <w:b/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We also explored the factors which might affect the scores of adults with visual</w:t>
      </w:r>
      <w:r w:rsidRPr="00183207">
        <w:rPr>
          <w:b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impairments </w:t>
      </w:r>
      <w:r w:rsidR="00F902E2" w:rsidRPr="00183207">
        <w:rPr>
          <w:sz w:val="20"/>
          <w:szCs w:val="20"/>
          <w:lang w:val="en-US"/>
        </w:rPr>
        <w:t xml:space="preserve">in each of the </w:t>
      </w:r>
      <w:r w:rsidRPr="00183207">
        <w:rPr>
          <w:sz w:val="20"/>
          <w:szCs w:val="20"/>
          <w:lang w:val="en-US"/>
        </w:rPr>
        <w:t>4 scales</w:t>
      </w:r>
      <w:r w:rsidR="0075496F" w:rsidRPr="00183207">
        <w:rPr>
          <w:sz w:val="20"/>
          <w:szCs w:val="20"/>
          <w:lang w:val="en-US"/>
        </w:rPr>
        <w:t xml:space="preserve">.  </w:t>
      </w:r>
      <w:r w:rsidR="00A373FE" w:rsidRPr="00183207">
        <w:rPr>
          <w:sz w:val="20"/>
          <w:szCs w:val="20"/>
          <w:lang w:val="en-US"/>
        </w:rPr>
        <w:t>T</w:t>
      </w:r>
      <w:r w:rsidR="009A4CE9" w:rsidRPr="00183207">
        <w:rPr>
          <w:bCs/>
          <w:sz w:val="20"/>
          <w:szCs w:val="20"/>
          <w:lang w:val="en-US"/>
        </w:rPr>
        <w:t>he method of</w:t>
      </w:r>
      <w:r w:rsidR="009A4CE9" w:rsidRPr="00183207">
        <w:rPr>
          <w:sz w:val="20"/>
          <w:szCs w:val="20"/>
          <w:lang w:val="en-US"/>
        </w:rPr>
        <w:t xml:space="preserve"> linear multiple regression analysis was implemented, using the variables vision status, gender, age, </w:t>
      </w:r>
      <w:r w:rsidR="00742BBA" w:rsidRPr="00183207">
        <w:rPr>
          <w:sz w:val="20"/>
          <w:szCs w:val="20"/>
          <w:lang w:val="en-US"/>
        </w:rPr>
        <w:t xml:space="preserve">and </w:t>
      </w:r>
      <w:r w:rsidR="009A4CE9" w:rsidRPr="00183207">
        <w:rPr>
          <w:sz w:val="20"/>
          <w:szCs w:val="20"/>
          <w:lang w:val="en-US"/>
        </w:rPr>
        <w:t>how recently the visual impairment occurred, as predictors</w:t>
      </w:r>
      <w:r w:rsidR="0075496F" w:rsidRPr="00183207">
        <w:rPr>
          <w:sz w:val="20"/>
          <w:szCs w:val="20"/>
          <w:lang w:val="en-US"/>
        </w:rPr>
        <w:t xml:space="preserve">.  </w:t>
      </w:r>
    </w:p>
    <w:p w:rsidR="00183207" w:rsidRDefault="00183207" w:rsidP="00183207">
      <w:pPr>
        <w:jc w:val="both"/>
        <w:rPr>
          <w:b/>
          <w:bCs/>
          <w:iCs/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bCs/>
          <w:i/>
          <w:iCs/>
          <w:sz w:val="20"/>
          <w:szCs w:val="20"/>
          <w:lang w:val="en-US"/>
        </w:rPr>
        <w:t>Introversion/</w:t>
      </w:r>
      <w:r w:rsidRPr="00183207">
        <w:rPr>
          <w:i/>
          <w:iCs/>
          <w:sz w:val="20"/>
          <w:szCs w:val="20"/>
          <w:lang w:val="en-US"/>
        </w:rPr>
        <w:t>Extraversion</w:t>
      </w:r>
      <w:r w:rsidR="0075496F" w:rsidRPr="00183207">
        <w:rPr>
          <w:b/>
          <w:iCs/>
          <w:sz w:val="20"/>
          <w:szCs w:val="20"/>
          <w:lang w:val="en-US"/>
        </w:rPr>
        <w:t>.</w:t>
      </w:r>
      <w:proofErr w:type="gramEnd"/>
      <w:r w:rsidR="0075496F" w:rsidRPr="00183207">
        <w:rPr>
          <w:b/>
          <w:iCs/>
          <w:sz w:val="20"/>
          <w:szCs w:val="20"/>
          <w:lang w:val="en-US"/>
        </w:rPr>
        <w:t xml:space="preserve">  </w:t>
      </w:r>
      <w:r w:rsidRPr="00183207">
        <w:rPr>
          <w:sz w:val="20"/>
          <w:szCs w:val="20"/>
          <w:lang w:val="en-US"/>
        </w:rPr>
        <w:t>The analysis yielded an adjusted R</w:t>
      </w:r>
      <w:r w:rsidRPr="00183207">
        <w:rPr>
          <w:sz w:val="20"/>
          <w:szCs w:val="20"/>
          <w:vertAlign w:val="superscript"/>
          <w:lang w:val="en-US"/>
        </w:rPr>
        <w:t>2</w:t>
      </w:r>
      <w:r w:rsidR="00BC0E22" w:rsidRPr="00183207">
        <w:rPr>
          <w:sz w:val="20"/>
          <w:szCs w:val="20"/>
          <w:lang w:val="en-US"/>
        </w:rPr>
        <w:t xml:space="preserve"> of </w:t>
      </w:r>
      <w:r w:rsidRPr="00183207">
        <w:rPr>
          <w:sz w:val="20"/>
          <w:szCs w:val="20"/>
          <w:lang w:val="en-US"/>
        </w:rPr>
        <w:t>.</w:t>
      </w:r>
      <w:r w:rsidR="00085AED" w:rsidRPr="00183207">
        <w:rPr>
          <w:sz w:val="20"/>
          <w:szCs w:val="20"/>
          <w:lang w:val="en-US"/>
        </w:rPr>
        <w:t>08</w:t>
      </w:r>
      <w:r w:rsidR="00BC0E22" w:rsidRPr="00183207">
        <w:rPr>
          <w:sz w:val="20"/>
          <w:szCs w:val="20"/>
          <w:lang w:val="en-US"/>
        </w:rPr>
        <w:t>1</w:t>
      </w:r>
      <w:r w:rsidRPr="00183207">
        <w:rPr>
          <w:sz w:val="20"/>
          <w:szCs w:val="20"/>
          <w:lang w:val="en-US"/>
        </w:rPr>
        <w:t xml:space="preserve"> (</w:t>
      </w:r>
      <w:r w:rsidRPr="00183207">
        <w:rPr>
          <w:i/>
          <w:sz w:val="20"/>
          <w:szCs w:val="20"/>
          <w:lang w:val="en-US"/>
        </w:rPr>
        <w:t xml:space="preserve">F </w:t>
      </w:r>
      <w:r w:rsidRPr="00183207">
        <w:rPr>
          <w:sz w:val="20"/>
          <w:szCs w:val="20"/>
          <w:lang w:val="en-US"/>
        </w:rPr>
        <w:t xml:space="preserve">= </w:t>
      </w:r>
      <w:r w:rsidR="00085AED" w:rsidRPr="00183207">
        <w:rPr>
          <w:sz w:val="20"/>
          <w:szCs w:val="20"/>
          <w:lang w:val="en-US"/>
        </w:rPr>
        <w:t>2</w:t>
      </w:r>
      <w:r w:rsidRPr="00183207">
        <w:rPr>
          <w:sz w:val="20"/>
          <w:szCs w:val="20"/>
          <w:lang w:val="en-US"/>
        </w:rPr>
        <w:t>.</w:t>
      </w:r>
      <w:r w:rsidR="00BC0E22" w:rsidRPr="00183207">
        <w:rPr>
          <w:sz w:val="20"/>
          <w:szCs w:val="20"/>
          <w:lang w:val="en-US"/>
        </w:rPr>
        <w:t>958</w:t>
      </w:r>
      <w:r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i/>
          <w:sz w:val="20"/>
          <w:szCs w:val="20"/>
          <w:lang w:val="en-US"/>
        </w:rPr>
        <w:t>&lt;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.05)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A significant individual predictor of extraversion was age (</w:t>
      </w:r>
      <w:r w:rsidRPr="00183207">
        <w:rPr>
          <w:i/>
          <w:sz w:val="20"/>
          <w:szCs w:val="20"/>
        </w:rPr>
        <w:t>β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BB4A39" w:rsidRPr="00183207">
        <w:rPr>
          <w:sz w:val="20"/>
          <w:szCs w:val="20"/>
          <w:lang w:val="en-US"/>
        </w:rPr>
        <w:t>= -</w:t>
      </w:r>
      <w:r w:rsidRPr="00183207">
        <w:rPr>
          <w:sz w:val="20"/>
          <w:szCs w:val="20"/>
          <w:lang w:val="en-US"/>
        </w:rPr>
        <w:t>.</w:t>
      </w:r>
      <w:r w:rsidR="00085AED" w:rsidRPr="00183207">
        <w:rPr>
          <w:sz w:val="20"/>
          <w:szCs w:val="20"/>
          <w:lang w:val="en-US"/>
        </w:rPr>
        <w:t>4</w:t>
      </w:r>
      <w:r w:rsidR="00BC0E22" w:rsidRPr="00183207">
        <w:rPr>
          <w:sz w:val="20"/>
          <w:szCs w:val="20"/>
          <w:lang w:val="en-US"/>
        </w:rPr>
        <w:t>11</w:t>
      </w:r>
      <w:r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i/>
          <w:sz w:val="20"/>
          <w:szCs w:val="20"/>
          <w:lang w:val="en-US"/>
        </w:rPr>
        <w:t>&lt;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</w:t>
      </w:r>
      <w:r w:rsidR="00085AED" w:rsidRPr="00183207">
        <w:rPr>
          <w:sz w:val="20"/>
          <w:szCs w:val="20"/>
          <w:lang w:val="en-US"/>
        </w:rPr>
        <w:t>1</w:t>
      </w:r>
      <w:r w:rsidRPr="00183207">
        <w:rPr>
          <w:sz w:val="20"/>
          <w:szCs w:val="20"/>
          <w:lang w:val="en-US"/>
        </w:rPr>
        <w:t>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According to the results, extraversion declines with the increase in ag</w:t>
      </w:r>
      <w:r w:rsidR="00085AED" w:rsidRPr="00183207">
        <w:rPr>
          <w:sz w:val="20"/>
          <w:szCs w:val="20"/>
          <w:lang w:val="en-US"/>
        </w:rPr>
        <w:t>e</w:t>
      </w:r>
      <w:r w:rsidR="0075496F" w:rsidRPr="00183207">
        <w:rPr>
          <w:sz w:val="20"/>
          <w:szCs w:val="20"/>
          <w:lang w:val="en-US"/>
        </w:rPr>
        <w:t xml:space="preserve">.  </w:t>
      </w:r>
      <w:r w:rsidR="00085AED" w:rsidRPr="00183207">
        <w:rPr>
          <w:sz w:val="20"/>
          <w:szCs w:val="20"/>
          <w:lang w:val="en-US"/>
        </w:rPr>
        <w:t xml:space="preserve">Gender, vision status, </w:t>
      </w:r>
      <w:r w:rsidRPr="00183207">
        <w:rPr>
          <w:sz w:val="20"/>
          <w:szCs w:val="20"/>
          <w:lang w:val="en-US"/>
        </w:rPr>
        <w:t xml:space="preserve">and </w:t>
      </w:r>
      <w:r w:rsidR="00085AED" w:rsidRPr="00183207">
        <w:rPr>
          <w:sz w:val="20"/>
          <w:szCs w:val="20"/>
          <w:lang w:val="en-US"/>
        </w:rPr>
        <w:t xml:space="preserve">how recently the visual impairment occurred </w:t>
      </w:r>
      <w:r w:rsidRPr="00183207">
        <w:rPr>
          <w:sz w:val="20"/>
          <w:szCs w:val="20"/>
          <w:lang w:val="en-US"/>
        </w:rPr>
        <w:t xml:space="preserve">were not significant individual predictors of extraversion (see Table </w:t>
      </w:r>
      <w:r w:rsidRPr="00183207">
        <w:rPr>
          <w:sz w:val="20"/>
          <w:szCs w:val="20"/>
          <w:lang w:val="en-GB"/>
        </w:rPr>
        <w:t>2</w:t>
      </w:r>
      <w:r w:rsidR="00085AED" w:rsidRPr="00183207">
        <w:rPr>
          <w:sz w:val="20"/>
          <w:szCs w:val="20"/>
          <w:lang w:val="en-US"/>
        </w:rPr>
        <w:t>).</w:t>
      </w:r>
    </w:p>
    <w:p w:rsidR="00183207" w:rsidRDefault="00183207" w:rsidP="00183207">
      <w:pPr>
        <w:jc w:val="both"/>
        <w:rPr>
          <w:bCs/>
          <w:sz w:val="20"/>
          <w:szCs w:val="20"/>
          <w:lang w:val="en-US"/>
        </w:rPr>
      </w:pPr>
    </w:p>
    <w:p w:rsidR="00FF12ED" w:rsidRPr="00183207" w:rsidRDefault="00183207" w:rsidP="0018320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proofErr w:type="gramStart"/>
      <w:r w:rsidRPr="00183207">
        <w:rPr>
          <w:b/>
          <w:sz w:val="20"/>
          <w:szCs w:val="20"/>
          <w:lang w:val="en-US"/>
        </w:rPr>
        <w:t>Table 2</w:t>
      </w:r>
      <w:r w:rsidR="00464853">
        <w:rPr>
          <w:b/>
          <w:sz w:val="20"/>
          <w:szCs w:val="20"/>
          <w:lang w:val="en-US"/>
        </w:rPr>
        <w:t>.</w:t>
      </w:r>
      <w:proofErr w:type="gramEnd"/>
      <w:r w:rsidR="00464853">
        <w:rPr>
          <w:b/>
          <w:sz w:val="20"/>
          <w:szCs w:val="20"/>
          <w:lang w:val="en-US"/>
        </w:rPr>
        <w:t xml:space="preserve"> </w:t>
      </w:r>
      <w:r w:rsidRPr="00183207">
        <w:rPr>
          <w:b/>
          <w:sz w:val="20"/>
          <w:szCs w:val="20"/>
          <w:lang w:val="en-US"/>
        </w:rPr>
        <w:t xml:space="preserve"> </w:t>
      </w:r>
      <w:r w:rsidR="00FF12ED" w:rsidRPr="00183207">
        <w:rPr>
          <w:b/>
          <w:sz w:val="20"/>
          <w:szCs w:val="20"/>
          <w:lang w:val="en-US"/>
        </w:rPr>
        <w:t>Multiple Regression for Variables as Predictors of Extraversion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704"/>
        <w:gridCol w:w="875"/>
        <w:gridCol w:w="1276"/>
        <w:gridCol w:w="851"/>
        <w:gridCol w:w="1086"/>
        <w:gridCol w:w="756"/>
      </w:tblGrid>
      <w:tr w:rsidR="00FF12ED" w:rsidRPr="00183207" w:rsidTr="0018320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Beta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p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Vision status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.338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.690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.050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  <w:lang w:val="en-US"/>
              </w:rPr>
              <w:t>.49</w:t>
            </w:r>
            <w:r w:rsidRPr="00183207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.625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875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-.666</w:t>
            </w:r>
          </w:p>
        </w:tc>
        <w:tc>
          <w:tcPr>
            <w:tcW w:w="127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.686</w:t>
            </w:r>
          </w:p>
        </w:tc>
        <w:tc>
          <w:tcPr>
            <w:tcW w:w="851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-.099</w:t>
            </w:r>
          </w:p>
        </w:tc>
        <w:tc>
          <w:tcPr>
            <w:tcW w:w="108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-.971</w:t>
            </w:r>
          </w:p>
        </w:tc>
        <w:tc>
          <w:tcPr>
            <w:tcW w:w="75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.334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875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-.129</w:t>
            </w:r>
          </w:p>
        </w:tc>
        <w:tc>
          <w:tcPr>
            <w:tcW w:w="127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.041</w:t>
            </w:r>
          </w:p>
        </w:tc>
        <w:tc>
          <w:tcPr>
            <w:tcW w:w="851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-.411</w:t>
            </w:r>
          </w:p>
        </w:tc>
        <w:tc>
          <w:tcPr>
            <w:tcW w:w="108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-3.142</w:t>
            </w:r>
          </w:p>
        </w:tc>
        <w:tc>
          <w:tcPr>
            <w:tcW w:w="756" w:type="dxa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.002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How recently the V.I. occurred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.037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.032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.154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1.168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</w:rPr>
            </w:pPr>
            <w:r w:rsidRPr="00183207">
              <w:rPr>
                <w:sz w:val="20"/>
                <w:szCs w:val="20"/>
              </w:rPr>
              <w:t>.246</w:t>
            </w:r>
          </w:p>
        </w:tc>
      </w:tr>
    </w:tbl>
    <w:p w:rsidR="00FF12ED" w:rsidRPr="00464853" w:rsidRDefault="00FF12ED" w:rsidP="00183207">
      <w:pPr>
        <w:jc w:val="both"/>
        <w:rPr>
          <w:sz w:val="16"/>
          <w:szCs w:val="16"/>
        </w:rPr>
      </w:pPr>
      <w:r w:rsidRPr="00464853">
        <w:rPr>
          <w:iCs/>
          <w:sz w:val="16"/>
          <w:szCs w:val="16"/>
          <w:lang w:val="en-US"/>
        </w:rPr>
        <w:t>Note</w:t>
      </w:r>
      <w:r w:rsidRPr="00464853">
        <w:rPr>
          <w:sz w:val="16"/>
          <w:szCs w:val="16"/>
          <w:lang w:val="en-US"/>
        </w:rPr>
        <w:t>. Adjusted R</w:t>
      </w:r>
      <w:r w:rsidRPr="00464853">
        <w:rPr>
          <w:sz w:val="16"/>
          <w:szCs w:val="16"/>
          <w:vertAlign w:val="superscript"/>
          <w:lang w:val="en-US"/>
        </w:rPr>
        <w:t xml:space="preserve">2 </w:t>
      </w:r>
      <w:r w:rsidRPr="00464853">
        <w:rPr>
          <w:sz w:val="16"/>
          <w:szCs w:val="16"/>
          <w:lang w:val="en-US"/>
        </w:rPr>
        <w:t>= .081, p &lt; .05.</w:t>
      </w:r>
    </w:p>
    <w:p w:rsidR="009A4CE9" w:rsidRPr="00183207" w:rsidRDefault="009A4CE9" w:rsidP="00183207">
      <w:pPr>
        <w:autoSpaceDE w:val="0"/>
        <w:autoSpaceDN w:val="0"/>
        <w:adjustRightInd w:val="0"/>
        <w:jc w:val="both"/>
        <w:rPr>
          <w:bCs/>
          <w:color w:val="0000FF"/>
          <w:sz w:val="16"/>
          <w:szCs w:val="16"/>
          <w:lang w:val="en-US"/>
        </w:rPr>
      </w:pPr>
    </w:p>
    <w:p w:rsidR="009A4CE9" w:rsidRPr="00183207" w:rsidRDefault="009A4CE9" w:rsidP="00183207">
      <w:pPr>
        <w:jc w:val="both"/>
        <w:rPr>
          <w:color w:val="0000FF"/>
          <w:sz w:val="20"/>
          <w:szCs w:val="20"/>
          <w:lang w:val="en-US"/>
        </w:rPr>
      </w:pPr>
      <w:proofErr w:type="gramStart"/>
      <w:r w:rsidRPr="00183207">
        <w:rPr>
          <w:i/>
          <w:iCs/>
          <w:sz w:val="20"/>
          <w:szCs w:val="20"/>
          <w:lang w:val="en-US"/>
        </w:rPr>
        <w:t>Neuroticism</w:t>
      </w:r>
      <w:r w:rsidR="0075496F" w:rsidRPr="00183207">
        <w:rPr>
          <w:b/>
          <w:iCs/>
          <w:sz w:val="20"/>
          <w:szCs w:val="20"/>
          <w:lang w:val="en-US"/>
        </w:rPr>
        <w:t>.</w:t>
      </w:r>
      <w:proofErr w:type="gramEnd"/>
      <w:r w:rsidR="0075496F" w:rsidRPr="00183207">
        <w:rPr>
          <w:b/>
          <w:iCs/>
          <w:sz w:val="20"/>
          <w:szCs w:val="20"/>
          <w:lang w:val="en-US"/>
        </w:rPr>
        <w:t xml:space="preserve">  </w:t>
      </w:r>
      <w:r w:rsidRPr="00183207">
        <w:rPr>
          <w:sz w:val="20"/>
          <w:szCs w:val="20"/>
          <w:lang w:val="en-US"/>
        </w:rPr>
        <w:t>The analysis yielded an adjusted R</w:t>
      </w:r>
      <w:r w:rsidRPr="00183207">
        <w:rPr>
          <w:sz w:val="20"/>
          <w:szCs w:val="20"/>
          <w:vertAlign w:val="superscript"/>
          <w:lang w:val="en-US"/>
        </w:rPr>
        <w:t>2</w:t>
      </w:r>
      <w:r w:rsidR="009C0095" w:rsidRPr="00183207">
        <w:rPr>
          <w:sz w:val="20"/>
          <w:szCs w:val="20"/>
          <w:lang w:val="en-US"/>
        </w:rPr>
        <w:t xml:space="preserve"> of </w:t>
      </w:r>
      <w:r w:rsidRPr="00183207">
        <w:rPr>
          <w:sz w:val="20"/>
          <w:szCs w:val="20"/>
          <w:lang w:val="en-US"/>
        </w:rPr>
        <w:t>.</w:t>
      </w:r>
      <w:r w:rsidR="009C0095" w:rsidRPr="00183207">
        <w:rPr>
          <w:sz w:val="20"/>
          <w:szCs w:val="20"/>
          <w:lang w:val="en-US"/>
        </w:rPr>
        <w:t>061</w:t>
      </w:r>
      <w:r w:rsidRPr="00183207">
        <w:rPr>
          <w:sz w:val="20"/>
          <w:szCs w:val="20"/>
          <w:lang w:val="en-US"/>
        </w:rPr>
        <w:t xml:space="preserve"> (</w:t>
      </w:r>
      <w:r w:rsidRPr="00183207">
        <w:rPr>
          <w:i/>
          <w:sz w:val="20"/>
          <w:szCs w:val="20"/>
          <w:lang w:val="en-US"/>
        </w:rPr>
        <w:t>F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= 2.</w:t>
      </w:r>
      <w:r w:rsidR="009C0095" w:rsidRPr="00183207">
        <w:rPr>
          <w:sz w:val="20"/>
          <w:szCs w:val="20"/>
          <w:lang w:val="en-US"/>
        </w:rPr>
        <w:t>547</w:t>
      </w:r>
      <w:r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&lt;</w:t>
      </w:r>
      <w:r w:rsidR="003C5645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.05)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Significant individual predictors of neuroticism were gender (</w:t>
      </w:r>
      <w:r w:rsidRPr="00183207">
        <w:rPr>
          <w:i/>
          <w:sz w:val="20"/>
          <w:szCs w:val="20"/>
        </w:rPr>
        <w:t>β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BB4A39" w:rsidRPr="00183207">
        <w:rPr>
          <w:sz w:val="20"/>
          <w:szCs w:val="20"/>
          <w:lang w:val="en-US"/>
        </w:rPr>
        <w:t xml:space="preserve">= </w:t>
      </w:r>
      <w:r w:rsidRPr="00183207">
        <w:rPr>
          <w:sz w:val="20"/>
          <w:szCs w:val="20"/>
          <w:lang w:val="en-US"/>
        </w:rPr>
        <w:t>.2</w:t>
      </w:r>
      <w:r w:rsidR="009C0095" w:rsidRPr="00183207">
        <w:rPr>
          <w:sz w:val="20"/>
          <w:szCs w:val="20"/>
          <w:lang w:val="en-US"/>
        </w:rPr>
        <w:t>10</w:t>
      </w:r>
      <w:r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BB4A39" w:rsidRPr="00183207">
        <w:rPr>
          <w:sz w:val="20"/>
          <w:szCs w:val="20"/>
          <w:lang w:val="en-US"/>
        </w:rPr>
        <w:t xml:space="preserve">&lt; </w:t>
      </w:r>
      <w:r w:rsidRPr="00183207">
        <w:rPr>
          <w:sz w:val="20"/>
          <w:szCs w:val="20"/>
          <w:lang w:val="en-US"/>
        </w:rPr>
        <w:t>.05) and age (</w:t>
      </w:r>
      <w:r w:rsidRPr="00183207">
        <w:rPr>
          <w:i/>
          <w:sz w:val="20"/>
          <w:szCs w:val="20"/>
        </w:rPr>
        <w:t>β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980BD8" w:rsidRPr="00183207">
        <w:rPr>
          <w:sz w:val="20"/>
          <w:szCs w:val="20"/>
          <w:lang w:val="en-US"/>
        </w:rPr>
        <w:t>= .2</w:t>
      </w:r>
      <w:r w:rsidR="009C0095" w:rsidRPr="00183207">
        <w:rPr>
          <w:sz w:val="20"/>
          <w:szCs w:val="20"/>
          <w:lang w:val="en-US"/>
        </w:rPr>
        <w:t>9</w:t>
      </w:r>
      <w:r w:rsidR="00980BD8" w:rsidRPr="00183207">
        <w:rPr>
          <w:sz w:val="20"/>
          <w:szCs w:val="20"/>
          <w:lang w:val="en-US"/>
        </w:rPr>
        <w:t>2</w:t>
      </w:r>
      <w:r w:rsidR="00980BD8"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980BD8" w:rsidRPr="00183207">
        <w:rPr>
          <w:sz w:val="20"/>
          <w:szCs w:val="20"/>
          <w:lang w:val="en-US"/>
        </w:rPr>
        <w:t>&lt;</w:t>
      </w:r>
      <w:r w:rsidR="003C5645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.05)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According to the results, the women showed a higher score on the neuroticism scale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>Furthermore, the scores on the neuroticism scale increase as the age increases</w:t>
      </w:r>
      <w:r w:rsidR="0075496F" w:rsidRPr="00183207">
        <w:rPr>
          <w:sz w:val="20"/>
          <w:szCs w:val="20"/>
          <w:lang w:val="en-US"/>
        </w:rPr>
        <w:t xml:space="preserve">.  </w:t>
      </w:r>
      <w:r w:rsidR="003D49BE" w:rsidRPr="00183207">
        <w:rPr>
          <w:sz w:val="20"/>
          <w:szCs w:val="20"/>
          <w:lang w:val="en-US"/>
        </w:rPr>
        <w:t>V</w:t>
      </w:r>
      <w:r w:rsidR="00085AED" w:rsidRPr="00183207">
        <w:rPr>
          <w:sz w:val="20"/>
          <w:szCs w:val="20"/>
          <w:lang w:val="en-US"/>
        </w:rPr>
        <w:t xml:space="preserve">ision status and how recently the visual impairment occurred were not significant individual predictors of </w:t>
      </w:r>
      <w:r w:rsidRPr="00183207">
        <w:rPr>
          <w:sz w:val="20"/>
          <w:szCs w:val="20"/>
          <w:lang w:val="en-US"/>
        </w:rPr>
        <w:t xml:space="preserve">neuroticism (see Table </w:t>
      </w:r>
      <w:r w:rsidRPr="00183207">
        <w:rPr>
          <w:sz w:val="20"/>
          <w:szCs w:val="20"/>
          <w:lang w:val="en-GB"/>
        </w:rPr>
        <w:t>3</w:t>
      </w:r>
      <w:r w:rsidRPr="00183207">
        <w:rPr>
          <w:sz w:val="20"/>
          <w:szCs w:val="20"/>
          <w:lang w:val="en-US"/>
        </w:rPr>
        <w:t>).</w:t>
      </w:r>
    </w:p>
    <w:p w:rsidR="00183207" w:rsidRDefault="00183207" w:rsidP="00183207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</w:p>
    <w:p w:rsidR="00183207" w:rsidRPr="00183207" w:rsidRDefault="00183207" w:rsidP="00183207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183207">
        <w:rPr>
          <w:i/>
          <w:iCs/>
          <w:sz w:val="20"/>
          <w:szCs w:val="20"/>
          <w:lang w:val="en-US"/>
        </w:rPr>
        <w:t>Psychoticism</w:t>
      </w:r>
      <w:proofErr w:type="spellEnd"/>
      <w:r w:rsidRPr="00183207">
        <w:rPr>
          <w:b/>
          <w:iCs/>
          <w:sz w:val="20"/>
          <w:szCs w:val="20"/>
          <w:lang w:val="en-US"/>
        </w:rPr>
        <w:t>.</w:t>
      </w:r>
      <w:proofErr w:type="gramEnd"/>
      <w:r w:rsidRPr="00183207">
        <w:rPr>
          <w:b/>
          <w:iCs/>
          <w:sz w:val="20"/>
          <w:szCs w:val="20"/>
          <w:lang w:val="en-US"/>
        </w:rPr>
        <w:t xml:space="preserve">  </w:t>
      </w:r>
      <w:r w:rsidRPr="00183207">
        <w:rPr>
          <w:sz w:val="20"/>
          <w:szCs w:val="20"/>
          <w:lang w:val="en-US"/>
        </w:rPr>
        <w:t>The analysis yielded an adjusted R</w:t>
      </w:r>
      <w:r w:rsidRPr="00183207">
        <w:rPr>
          <w:sz w:val="20"/>
          <w:szCs w:val="20"/>
          <w:vertAlign w:val="superscript"/>
          <w:lang w:val="en-US"/>
        </w:rPr>
        <w:t>2</w:t>
      </w:r>
      <w:r w:rsidRPr="00183207">
        <w:rPr>
          <w:sz w:val="20"/>
          <w:szCs w:val="20"/>
          <w:lang w:val="en-US"/>
        </w:rPr>
        <w:t xml:space="preserve"> of .019 (</w:t>
      </w:r>
      <w:r w:rsidRPr="00183207">
        <w:rPr>
          <w:i/>
          <w:sz w:val="20"/>
          <w:szCs w:val="20"/>
          <w:lang w:val="en-US"/>
        </w:rPr>
        <w:t xml:space="preserve">F </w:t>
      </w:r>
      <w:r w:rsidRPr="00183207">
        <w:rPr>
          <w:sz w:val="20"/>
          <w:szCs w:val="20"/>
          <w:lang w:val="en-US"/>
        </w:rPr>
        <w:t>= 1.424</w:t>
      </w:r>
      <w:r w:rsidRPr="00183207">
        <w:rPr>
          <w:i/>
          <w:sz w:val="20"/>
          <w:szCs w:val="20"/>
          <w:lang w:val="en-US"/>
        </w:rPr>
        <w:t xml:space="preserve">, p </w:t>
      </w:r>
      <w:r w:rsidRPr="00183207">
        <w:rPr>
          <w:sz w:val="20"/>
          <w:szCs w:val="20"/>
          <w:lang w:val="en-US"/>
        </w:rPr>
        <w:t>=</w:t>
      </w:r>
      <w:r w:rsidRPr="00183207">
        <w:rPr>
          <w:i/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.233).  No variable was a significant individual predictor of </w:t>
      </w:r>
      <w:proofErr w:type="spellStart"/>
      <w:r w:rsidRPr="00183207">
        <w:rPr>
          <w:sz w:val="20"/>
          <w:szCs w:val="20"/>
          <w:lang w:val="en-US"/>
        </w:rPr>
        <w:t>psychoticism</w:t>
      </w:r>
      <w:proofErr w:type="spellEnd"/>
      <w:r w:rsidRPr="00183207">
        <w:rPr>
          <w:sz w:val="20"/>
          <w:szCs w:val="20"/>
          <w:lang w:val="en-US"/>
        </w:rPr>
        <w:t>.</w:t>
      </w:r>
    </w:p>
    <w:p w:rsidR="00183207" w:rsidRDefault="00183207" w:rsidP="00183207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</w:p>
    <w:p w:rsidR="00FF12ED" w:rsidRPr="00183207" w:rsidRDefault="00183207" w:rsidP="00183207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183207">
        <w:rPr>
          <w:b/>
          <w:sz w:val="20"/>
          <w:szCs w:val="20"/>
          <w:lang w:val="en-US"/>
        </w:rPr>
        <w:lastRenderedPageBreak/>
        <w:t xml:space="preserve">Table 3 </w:t>
      </w:r>
      <w:r w:rsidR="00FF12ED" w:rsidRPr="00183207">
        <w:rPr>
          <w:b/>
          <w:sz w:val="20"/>
          <w:szCs w:val="20"/>
          <w:lang w:val="en-US"/>
        </w:rPr>
        <w:t>Multiple Regression for Variables as Predictors of Neuroticism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704"/>
        <w:gridCol w:w="666"/>
        <w:gridCol w:w="1005"/>
        <w:gridCol w:w="633"/>
        <w:gridCol w:w="666"/>
        <w:gridCol w:w="566"/>
      </w:tblGrid>
      <w:tr w:rsidR="00FF12ED" w:rsidRPr="00183207" w:rsidTr="0018320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12ED" w:rsidRPr="00183207" w:rsidRDefault="00FF12ED" w:rsidP="00183207">
            <w:pPr>
              <w:tabs>
                <w:tab w:val="center" w:pos="40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83207">
              <w:rPr>
                <w:bCs/>
                <w:sz w:val="20"/>
                <w:szCs w:val="20"/>
                <w:lang w:val="en-US"/>
              </w:rPr>
              <w:t>p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Vision status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-.373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.570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-.068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-.655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.514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1.155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.567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.210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2.038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.045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.075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.034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.292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2.208</w:t>
            </w:r>
          </w:p>
        </w:tc>
        <w:tc>
          <w:tcPr>
            <w:tcW w:w="0" w:type="auto"/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.030</w:t>
            </w:r>
          </w:p>
        </w:tc>
      </w:tr>
      <w:tr w:rsidR="00FF12ED" w:rsidRPr="00183207" w:rsidTr="001832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jc w:val="both"/>
              <w:rPr>
                <w:sz w:val="20"/>
                <w:szCs w:val="20"/>
                <w:lang w:val="en-US"/>
              </w:rPr>
            </w:pPr>
            <w:r w:rsidRPr="00183207">
              <w:rPr>
                <w:sz w:val="20"/>
                <w:szCs w:val="20"/>
                <w:lang w:val="en-US"/>
              </w:rPr>
              <w:t>How recently the V.I. occurred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.026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-.096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-.718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12ED" w:rsidRPr="00183207" w:rsidRDefault="00FF12ED" w:rsidP="00183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3207">
              <w:rPr>
                <w:color w:val="000000"/>
                <w:sz w:val="20"/>
                <w:szCs w:val="20"/>
              </w:rPr>
              <w:t>.475</w:t>
            </w:r>
          </w:p>
        </w:tc>
      </w:tr>
    </w:tbl>
    <w:p w:rsidR="00FF12ED" w:rsidRPr="00464853" w:rsidRDefault="00FF12ED" w:rsidP="00183207">
      <w:pPr>
        <w:jc w:val="both"/>
        <w:rPr>
          <w:sz w:val="16"/>
          <w:szCs w:val="16"/>
        </w:rPr>
      </w:pPr>
      <w:r w:rsidRPr="00464853">
        <w:rPr>
          <w:iCs/>
          <w:sz w:val="16"/>
          <w:szCs w:val="16"/>
          <w:lang w:val="en-US"/>
        </w:rPr>
        <w:t>Note</w:t>
      </w:r>
      <w:r w:rsidRPr="00464853">
        <w:rPr>
          <w:sz w:val="16"/>
          <w:szCs w:val="16"/>
          <w:lang w:val="en-US"/>
        </w:rPr>
        <w:t>. Adjusted R</w:t>
      </w:r>
      <w:r w:rsidRPr="00464853">
        <w:rPr>
          <w:sz w:val="16"/>
          <w:szCs w:val="16"/>
          <w:vertAlign w:val="superscript"/>
          <w:lang w:val="en-US"/>
        </w:rPr>
        <w:t xml:space="preserve">2 </w:t>
      </w:r>
      <w:r w:rsidRPr="00464853">
        <w:rPr>
          <w:sz w:val="16"/>
          <w:szCs w:val="16"/>
          <w:lang w:val="en-US"/>
        </w:rPr>
        <w:t>= .061, p &lt; .05.</w:t>
      </w:r>
    </w:p>
    <w:p w:rsidR="00FF12ED" w:rsidRPr="00183207" w:rsidRDefault="00FF12ED" w:rsidP="00183207">
      <w:pPr>
        <w:ind w:firstLine="720"/>
        <w:jc w:val="both"/>
        <w:rPr>
          <w:sz w:val="20"/>
          <w:szCs w:val="20"/>
          <w:lang w:val="en-GB"/>
        </w:rPr>
      </w:pPr>
    </w:p>
    <w:p w:rsidR="009A4CE9" w:rsidRPr="00183207" w:rsidRDefault="005E1C13" w:rsidP="00183207">
      <w:pPr>
        <w:jc w:val="both"/>
        <w:rPr>
          <w:sz w:val="20"/>
          <w:szCs w:val="20"/>
          <w:lang w:val="en-GB"/>
        </w:rPr>
      </w:pPr>
      <w:r w:rsidRPr="00183207">
        <w:rPr>
          <w:bCs/>
          <w:i/>
          <w:iCs/>
          <w:sz w:val="20"/>
          <w:szCs w:val="20"/>
          <w:lang w:val="en-US"/>
        </w:rPr>
        <w:t>Lie</w:t>
      </w:r>
      <w:r w:rsidR="0075496F" w:rsidRPr="00183207">
        <w:rPr>
          <w:b/>
          <w:bCs/>
          <w:iCs/>
          <w:sz w:val="20"/>
          <w:szCs w:val="20"/>
          <w:lang w:val="en-US"/>
        </w:rPr>
        <w:t xml:space="preserve">.  </w:t>
      </w:r>
      <w:r w:rsidR="009A4CE9" w:rsidRPr="00183207">
        <w:rPr>
          <w:sz w:val="20"/>
          <w:szCs w:val="20"/>
          <w:lang w:val="en-US"/>
        </w:rPr>
        <w:t>The analysis yielded an adjusted R</w:t>
      </w:r>
      <w:r w:rsidR="009A4CE9" w:rsidRPr="00183207">
        <w:rPr>
          <w:sz w:val="20"/>
          <w:szCs w:val="20"/>
          <w:vertAlign w:val="superscript"/>
          <w:lang w:val="en-US"/>
        </w:rPr>
        <w:t>2</w:t>
      </w:r>
      <w:r w:rsidR="00220D7B" w:rsidRPr="00183207">
        <w:rPr>
          <w:sz w:val="20"/>
          <w:szCs w:val="20"/>
          <w:lang w:val="en-US"/>
        </w:rPr>
        <w:t xml:space="preserve"> of </w:t>
      </w:r>
      <w:r w:rsidR="00C4407A" w:rsidRPr="00183207">
        <w:rPr>
          <w:sz w:val="20"/>
          <w:szCs w:val="20"/>
          <w:lang w:val="en-US"/>
        </w:rPr>
        <w:t>-</w:t>
      </w:r>
      <w:r w:rsidR="009A4CE9" w:rsidRPr="00183207">
        <w:rPr>
          <w:sz w:val="20"/>
          <w:szCs w:val="20"/>
          <w:lang w:val="en-US"/>
        </w:rPr>
        <w:t>.0</w:t>
      </w:r>
      <w:r w:rsidR="00C4407A" w:rsidRPr="00183207">
        <w:rPr>
          <w:sz w:val="20"/>
          <w:szCs w:val="20"/>
          <w:lang w:val="en-US"/>
        </w:rPr>
        <w:t>30</w:t>
      </w:r>
      <w:r w:rsidR="009A4CE9" w:rsidRPr="00183207">
        <w:rPr>
          <w:sz w:val="20"/>
          <w:szCs w:val="20"/>
          <w:lang w:val="en-US"/>
        </w:rPr>
        <w:t xml:space="preserve"> (</w:t>
      </w:r>
      <w:r w:rsidR="009A4CE9" w:rsidRPr="00183207">
        <w:rPr>
          <w:i/>
          <w:sz w:val="20"/>
          <w:szCs w:val="20"/>
          <w:lang w:val="en-US"/>
        </w:rPr>
        <w:t>F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>= 0.</w:t>
      </w:r>
      <w:r w:rsidR="00C4407A" w:rsidRPr="00183207">
        <w:rPr>
          <w:sz w:val="20"/>
          <w:szCs w:val="20"/>
          <w:lang w:val="en-US"/>
        </w:rPr>
        <w:t>344</w:t>
      </w:r>
      <w:r w:rsidR="009A4CE9" w:rsidRPr="00183207">
        <w:rPr>
          <w:i/>
          <w:sz w:val="20"/>
          <w:szCs w:val="20"/>
          <w:lang w:val="en-US"/>
        </w:rPr>
        <w:t>, p</w:t>
      </w:r>
      <w:r w:rsidR="003C5645" w:rsidRPr="00183207">
        <w:rPr>
          <w:i/>
          <w:sz w:val="20"/>
          <w:szCs w:val="20"/>
          <w:lang w:val="en-US"/>
        </w:rPr>
        <w:t xml:space="preserve"> </w:t>
      </w:r>
      <w:r w:rsidR="00C4407A" w:rsidRPr="00183207">
        <w:rPr>
          <w:sz w:val="20"/>
          <w:szCs w:val="20"/>
          <w:lang w:val="en-US"/>
        </w:rPr>
        <w:t xml:space="preserve">= </w:t>
      </w:r>
      <w:r w:rsidR="009A4CE9" w:rsidRPr="00183207">
        <w:rPr>
          <w:sz w:val="20"/>
          <w:szCs w:val="20"/>
          <w:lang w:val="en-US"/>
        </w:rPr>
        <w:t>.</w:t>
      </w:r>
      <w:r w:rsidR="00C4407A" w:rsidRPr="00183207">
        <w:rPr>
          <w:sz w:val="20"/>
          <w:szCs w:val="20"/>
          <w:lang w:val="en-US"/>
        </w:rPr>
        <w:t>848</w:t>
      </w:r>
      <w:r w:rsidR="009A4CE9" w:rsidRPr="00183207">
        <w:rPr>
          <w:sz w:val="20"/>
          <w:szCs w:val="20"/>
          <w:lang w:val="en-US"/>
        </w:rPr>
        <w:t>)</w:t>
      </w:r>
      <w:r w:rsidR="0075496F" w:rsidRPr="00183207">
        <w:rPr>
          <w:sz w:val="20"/>
          <w:szCs w:val="20"/>
          <w:lang w:val="en-US"/>
        </w:rPr>
        <w:t xml:space="preserve">.  </w:t>
      </w:r>
      <w:r w:rsidR="009A4CE9" w:rsidRPr="00183207">
        <w:rPr>
          <w:sz w:val="20"/>
          <w:szCs w:val="20"/>
          <w:lang w:val="en-US"/>
        </w:rPr>
        <w:t>No variable was a significant predictor of lie.</w:t>
      </w:r>
    </w:p>
    <w:p w:rsidR="00183207" w:rsidRDefault="00183207" w:rsidP="00183207">
      <w:pPr>
        <w:jc w:val="both"/>
        <w:rPr>
          <w:b/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b/>
          <w:bCs/>
          <w:sz w:val="20"/>
          <w:szCs w:val="20"/>
          <w:lang w:val="en-GB"/>
        </w:rPr>
      </w:pPr>
      <w:r w:rsidRPr="00183207">
        <w:rPr>
          <w:b/>
          <w:sz w:val="20"/>
          <w:szCs w:val="20"/>
          <w:lang w:val="en-US"/>
        </w:rPr>
        <w:t>Discussion</w:t>
      </w:r>
    </w:p>
    <w:p w:rsidR="00B40BF5" w:rsidRPr="00183207" w:rsidRDefault="009A4CE9" w:rsidP="00183207">
      <w:pPr>
        <w:jc w:val="both"/>
        <w:rPr>
          <w:sz w:val="20"/>
          <w:szCs w:val="20"/>
          <w:lang w:val="en-GB"/>
        </w:rPr>
      </w:pPr>
      <w:r w:rsidRPr="00183207">
        <w:rPr>
          <w:sz w:val="20"/>
          <w:szCs w:val="20"/>
          <w:lang w:val="en-GB"/>
        </w:rPr>
        <w:t>According to the results of the analysis, there are no statistically significant differences amongst the three groups (individuals with blindness, individuals with low vision and sighted ind</w:t>
      </w:r>
      <w:r w:rsidR="00B40BF5" w:rsidRPr="00183207">
        <w:rPr>
          <w:sz w:val="20"/>
          <w:szCs w:val="20"/>
          <w:lang w:val="en-GB"/>
        </w:rPr>
        <w:t>ividuals) in scales P, N and E</w:t>
      </w:r>
      <w:r w:rsidR="0075496F" w:rsidRPr="00183207">
        <w:rPr>
          <w:sz w:val="20"/>
          <w:szCs w:val="20"/>
          <w:lang w:val="en-GB"/>
        </w:rPr>
        <w:t xml:space="preserve">.  </w:t>
      </w:r>
      <w:r w:rsidR="00B40BF5" w:rsidRPr="00183207">
        <w:rPr>
          <w:sz w:val="20"/>
          <w:szCs w:val="20"/>
          <w:lang w:val="en-GB"/>
        </w:rPr>
        <w:t>This result clearly supports our hypothesis about the absence of differences between the groups.</w:t>
      </w:r>
    </w:p>
    <w:p w:rsidR="00183207" w:rsidRDefault="00183207" w:rsidP="00183207">
      <w:pPr>
        <w:jc w:val="both"/>
        <w:rPr>
          <w:sz w:val="20"/>
          <w:szCs w:val="20"/>
          <w:lang w:val="en-GB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GB"/>
        </w:rPr>
        <w:t xml:space="preserve">However, the sighted adults have a lower score on the L scale, both from adults </w:t>
      </w:r>
      <w:r w:rsidR="001E7EEF" w:rsidRPr="00183207">
        <w:rPr>
          <w:sz w:val="20"/>
          <w:szCs w:val="20"/>
          <w:lang w:val="en-GB"/>
        </w:rPr>
        <w:t xml:space="preserve">with blindness </w:t>
      </w:r>
      <w:r w:rsidRPr="00183207">
        <w:rPr>
          <w:sz w:val="20"/>
          <w:szCs w:val="20"/>
          <w:lang w:val="en-GB"/>
        </w:rPr>
        <w:t>and from adults with low vision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>There is a possibility that the presence of the researcher may have influenced the answers from the subjects with visual impairment</w:t>
      </w:r>
      <w:r w:rsidR="00F75AE5" w:rsidRPr="00183207">
        <w:rPr>
          <w:sz w:val="20"/>
          <w:szCs w:val="20"/>
          <w:lang w:val="en-GB"/>
        </w:rPr>
        <w:t>s</w:t>
      </w:r>
      <w:r w:rsidR="0075496F" w:rsidRPr="00183207">
        <w:rPr>
          <w:sz w:val="20"/>
          <w:szCs w:val="20"/>
          <w:lang w:val="en-US"/>
        </w:rPr>
        <w:t xml:space="preserve">.  </w:t>
      </w:r>
      <w:r w:rsidR="003A61D7" w:rsidRPr="00183207">
        <w:rPr>
          <w:sz w:val="20"/>
          <w:szCs w:val="20"/>
          <w:lang w:val="en-GB"/>
        </w:rPr>
        <w:t>I</w:t>
      </w:r>
      <w:r w:rsidR="00B114E2" w:rsidRPr="00183207">
        <w:rPr>
          <w:sz w:val="20"/>
          <w:szCs w:val="20"/>
          <w:lang w:val="en-GB"/>
        </w:rPr>
        <w:t>f this is true</w:t>
      </w:r>
      <w:r w:rsidR="003A61D7" w:rsidRPr="00183207">
        <w:rPr>
          <w:sz w:val="20"/>
          <w:szCs w:val="20"/>
          <w:lang w:val="en-GB"/>
        </w:rPr>
        <w:t>, the results in the other scales may have also been influenced</w:t>
      </w:r>
      <w:r w:rsidR="0075496F" w:rsidRPr="00183207">
        <w:rPr>
          <w:sz w:val="20"/>
          <w:szCs w:val="20"/>
          <w:lang w:val="en-GB"/>
        </w:rPr>
        <w:t xml:space="preserve">.  </w:t>
      </w:r>
      <w:r w:rsidR="003340D1" w:rsidRPr="00183207">
        <w:rPr>
          <w:sz w:val="20"/>
          <w:szCs w:val="20"/>
          <w:lang w:val="en-GB"/>
        </w:rPr>
        <w:t xml:space="preserve">Another possibility that could interpret the high score </w:t>
      </w:r>
      <w:r w:rsidR="00F902E2" w:rsidRPr="00183207">
        <w:rPr>
          <w:sz w:val="20"/>
          <w:szCs w:val="20"/>
          <w:lang w:val="en-GB"/>
        </w:rPr>
        <w:t xml:space="preserve">of the participants with visual impairments </w:t>
      </w:r>
      <w:r w:rsidR="003340D1" w:rsidRPr="00183207">
        <w:rPr>
          <w:sz w:val="20"/>
          <w:szCs w:val="20"/>
          <w:lang w:val="en-GB"/>
        </w:rPr>
        <w:t xml:space="preserve">in L </w:t>
      </w:r>
      <w:r w:rsidR="000A7192" w:rsidRPr="00183207">
        <w:rPr>
          <w:sz w:val="20"/>
          <w:szCs w:val="20"/>
          <w:lang w:val="en-GB"/>
        </w:rPr>
        <w:t>scale</w:t>
      </w:r>
      <w:r w:rsidR="003340D1" w:rsidRPr="00183207">
        <w:rPr>
          <w:sz w:val="20"/>
          <w:szCs w:val="20"/>
          <w:lang w:val="en-GB"/>
        </w:rPr>
        <w:t xml:space="preserve"> is that </w:t>
      </w:r>
      <w:r w:rsidR="000A7192" w:rsidRPr="00183207">
        <w:rPr>
          <w:sz w:val="20"/>
          <w:szCs w:val="20"/>
          <w:lang w:val="en-GB"/>
        </w:rPr>
        <w:t>they might have tried to retain or to present a conformist social image of themselves</w:t>
      </w:r>
      <w:r w:rsidR="0075496F" w:rsidRPr="00183207">
        <w:rPr>
          <w:sz w:val="20"/>
          <w:szCs w:val="20"/>
          <w:lang w:val="en-GB"/>
        </w:rPr>
        <w:t xml:space="preserve">.  </w:t>
      </w:r>
      <w:r w:rsidR="000A7192" w:rsidRPr="00183207">
        <w:rPr>
          <w:sz w:val="20"/>
          <w:szCs w:val="20"/>
          <w:lang w:val="en-GB"/>
        </w:rPr>
        <w:t xml:space="preserve">What could account for such an attitude may be the fact that because </w:t>
      </w:r>
      <w:r w:rsidR="00026997" w:rsidRPr="00183207">
        <w:rPr>
          <w:sz w:val="20"/>
          <w:szCs w:val="20"/>
          <w:lang w:val="en-GB"/>
        </w:rPr>
        <w:t xml:space="preserve">persons with visual impairments </w:t>
      </w:r>
      <w:r w:rsidR="000A7192" w:rsidRPr="00183207">
        <w:rPr>
          <w:sz w:val="20"/>
          <w:szCs w:val="20"/>
          <w:lang w:val="en-GB"/>
        </w:rPr>
        <w:t xml:space="preserve">grow up in a disadvantaged group of society - a minority, they face serious difficulties in having an independent </w:t>
      </w:r>
      <w:r w:rsidR="00134458" w:rsidRPr="00183207">
        <w:rPr>
          <w:sz w:val="20"/>
          <w:szCs w:val="20"/>
          <w:lang w:val="en-GB"/>
        </w:rPr>
        <w:t>life in a modern society (Reid, 2000)</w:t>
      </w:r>
      <w:r w:rsidR="0075496F" w:rsidRPr="00183207">
        <w:rPr>
          <w:sz w:val="20"/>
          <w:szCs w:val="20"/>
          <w:lang w:val="en-GB"/>
        </w:rPr>
        <w:t xml:space="preserve">.  </w:t>
      </w:r>
      <w:r w:rsidR="00B40BF5" w:rsidRPr="00183207">
        <w:rPr>
          <w:sz w:val="20"/>
          <w:szCs w:val="20"/>
          <w:lang w:val="en-GB"/>
        </w:rPr>
        <w:t xml:space="preserve">In every case, it would be useful to assess the validity of the participants’ self- reports through peer report data (Wolf, </w:t>
      </w:r>
      <w:proofErr w:type="spellStart"/>
      <w:r w:rsidR="00B40BF5" w:rsidRPr="00183207">
        <w:rPr>
          <w:sz w:val="20"/>
          <w:szCs w:val="20"/>
          <w:lang w:val="en-GB"/>
        </w:rPr>
        <w:t>Angleitner</w:t>
      </w:r>
      <w:proofErr w:type="spellEnd"/>
      <w:r w:rsidR="00B40BF5" w:rsidRPr="00183207">
        <w:rPr>
          <w:sz w:val="20"/>
          <w:szCs w:val="20"/>
          <w:lang w:val="en-GB"/>
        </w:rPr>
        <w:t xml:space="preserve">, </w:t>
      </w:r>
      <w:proofErr w:type="spellStart"/>
      <w:r w:rsidR="00B40BF5" w:rsidRPr="00183207">
        <w:rPr>
          <w:sz w:val="20"/>
          <w:szCs w:val="20"/>
          <w:lang w:val="en-GB"/>
        </w:rPr>
        <w:t>Spinath</w:t>
      </w:r>
      <w:proofErr w:type="spellEnd"/>
      <w:r w:rsidR="00B40BF5" w:rsidRPr="00183207">
        <w:rPr>
          <w:sz w:val="20"/>
          <w:szCs w:val="20"/>
          <w:lang w:val="en-GB"/>
        </w:rPr>
        <w:t>, Riemann,</w:t>
      </w:r>
      <w:r w:rsidR="00DD793D" w:rsidRPr="00183207">
        <w:rPr>
          <w:sz w:val="20"/>
          <w:szCs w:val="20"/>
          <w:lang w:val="en-GB"/>
        </w:rPr>
        <w:t xml:space="preserve"> &amp;</w:t>
      </w:r>
      <w:r w:rsidR="00B40BF5" w:rsidRPr="00183207">
        <w:rPr>
          <w:sz w:val="20"/>
          <w:szCs w:val="20"/>
          <w:lang w:val="en-GB"/>
        </w:rPr>
        <w:t xml:space="preserve"> </w:t>
      </w:r>
      <w:proofErr w:type="spellStart"/>
      <w:r w:rsidR="00B40BF5" w:rsidRPr="00183207">
        <w:rPr>
          <w:sz w:val="20"/>
          <w:szCs w:val="20"/>
          <w:lang w:val="en-GB"/>
        </w:rPr>
        <w:t>Strelau</w:t>
      </w:r>
      <w:proofErr w:type="spellEnd"/>
      <w:r w:rsidR="00B40BF5" w:rsidRPr="00183207">
        <w:rPr>
          <w:sz w:val="20"/>
          <w:szCs w:val="20"/>
          <w:lang w:val="en-GB"/>
        </w:rPr>
        <w:t>, 2004).</w:t>
      </w:r>
    </w:p>
    <w:p w:rsidR="00183207" w:rsidRDefault="00183207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</w:p>
    <w:p w:rsidR="009A4CE9" w:rsidRPr="00183207" w:rsidRDefault="009A4CE9" w:rsidP="00183207">
      <w:pPr>
        <w:pStyle w:val="BodyTextIndent2"/>
        <w:spacing w:line="240" w:lineRule="auto"/>
        <w:ind w:firstLine="0"/>
        <w:jc w:val="both"/>
        <w:rPr>
          <w:sz w:val="20"/>
          <w:szCs w:val="20"/>
        </w:rPr>
      </w:pPr>
      <w:r w:rsidRPr="00183207">
        <w:rPr>
          <w:sz w:val="20"/>
          <w:szCs w:val="20"/>
        </w:rPr>
        <w:t xml:space="preserve">The means of the 4 scales (P, N, E, L) that were calculated in this study it is inappropriate to be compared with the respective means of </w:t>
      </w:r>
      <w:proofErr w:type="spellStart"/>
      <w:r w:rsidRPr="00183207">
        <w:rPr>
          <w:sz w:val="20"/>
          <w:szCs w:val="20"/>
        </w:rPr>
        <w:t>Alexopoulos</w:t>
      </w:r>
      <w:proofErr w:type="spellEnd"/>
      <w:r w:rsidRPr="00183207">
        <w:rPr>
          <w:sz w:val="20"/>
          <w:szCs w:val="20"/>
        </w:rPr>
        <w:t xml:space="preserve"> and </w:t>
      </w:r>
      <w:proofErr w:type="spellStart"/>
      <w:r w:rsidRPr="00183207">
        <w:rPr>
          <w:sz w:val="20"/>
          <w:szCs w:val="20"/>
        </w:rPr>
        <w:t>Kalaitzidis</w:t>
      </w:r>
      <w:proofErr w:type="spellEnd"/>
      <w:r w:rsidRPr="00183207">
        <w:rPr>
          <w:sz w:val="20"/>
          <w:szCs w:val="20"/>
        </w:rPr>
        <w:t xml:space="preserve"> (2004) study, because the majority of the participants in </w:t>
      </w:r>
      <w:proofErr w:type="spellStart"/>
      <w:r w:rsidRPr="00183207">
        <w:rPr>
          <w:sz w:val="20"/>
          <w:szCs w:val="20"/>
        </w:rPr>
        <w:t>Alexopoulos</w:t>
      </w:r>
      <w:proofErr w:type="spellEnd"/>
      <w:r w:rsidRPr="00183207">
        <w:rPr>
          <w:sz w:val="20"/>
          <w:szCs w:val="20"/>
        </w:rPr>
        <w:t xml:space="preserve"> and </w:t>
      </w:r>
      <w:proofErr w:type="spellStart"/>
      <w:r w:rsidRPr="00183207">
        <w:rPr>
          <w:sz w:val="20"/>
          <w:szCs w:val="20"/>
        </w:rPr>
        <w:t>Kalaitzidis’s</w:t>
      </w:r>
      <w:proofErr w:type="spellEnd"/>
      <w:r w:rsidRPr="00183207">
        <w:rPr>
          <w:sz w:val="20"/>
          <w:szCs w:val="20"/>
        </w:rPr>
        <w:t xml:space="preserve"> research were high school and university students, aged in average 19.7 years.</w:t>
      </w:r>
    </w:p>
    <w:p w:rsidR="00183207" w:rsidRDefault="00183207" w:rsidP="00183207">
      <w:pPr>
        <w:jc w:val="both"/>
        <w:rPr>
          <w:sz w:val="20"/>
          <w:szCs w:val="20"/>
          <w:lang w:val="en-US"/>
        </w:rPr>
      </w:pP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 xml:space="preserve">In the present study, </w:t>
      </w:r>
      <w:r w:rsidRPr="00183207">
        <w:rPr>
          <w:sz w:val="20"/>
          <w:szCs w:val="20"/>
          <w:lang w:val="en-GB"/>
        </w:rPr>
        <w:t>the older individuals with visual impairment</w:t>
      </w:r>
      <w:r w:rsidR="00F75AE5" w:rsidRPr="00183207">
        <w:rPr>
          <w:sz w:val="20"/>
          <w:szCs w:val="20"/>
          <w:lang w:val="en-GB"/>
        </w:rPr>
        <w:t>s</w:t>
      </w:r>
      <w:r w:rsidRPr="00183207">
        <w:rPr>
          <w:sz w:val="20"/>
          <w:szCs w:val="20"/>
          <w:lang w:val="en-GB"/>
        </w:rPr>
        <w:t xml:space="preserve"> reveal less extraversion and greater neuroticism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 xml:space="preserve">Similarly, there is research with sighted participants in which the negative correlation between age and extraversion is obvious (Costa, </w:t>
      </w:r>
      <w:proofErr w:type="spellStart"/>
      <w:r w:rsidRPr="00183207">
        <w:rPr>
          <w:sz w:val="20"/>
          <w:szCs w:val="20"/>
          <w:lang w:val="en-GB"/>
        </w:rPr>
        <w:t>Herbst</w:t>
      </w:r>
      <w:proofErr w:type="spellEnd"/>
      <w:r w:rsidRPr="00183207">
        <w:rPr>
          <w:sz w:val="20"/>
          <w:szCs w:val="20"/>
          <w:lang w:val="en-GB"/>
        </w:rPr>
        <w:t>, McCrae</w:t>
      </w:r>
      <w:r w:rsidR="00461D1D" w:rsidRPr="00183207">
        <w:rPr>
          <w:sz w:val="20"/>
          <w:szCs w:val="20"/>
          <w:lang w:val="en-GB"/>
        </w:rPr>
        <w:t>,</w:t>
      </w:r>
      <w:r w:rsidRPr="00183207">
        <w:rPr>
          <w:sz w:val="20"/>
          <w:szCs w:val="20"/>
          <w:lang w:val="en-GB"/>
        </w:rPr>
        <w:t xml:space="preserve"> &amp; </w:t>
      </w:r>
      <w:proofErr w:type="spellStart"/>
      <w:r w:rsidRPr="00183207">
        <w:rPr>
          <w:sz w:val="20"/>
          <w:szCs w:val="20"/>
          <w:lang w:val="en-GB"/>
        </w:rPr>
        <w:t>S</w:t>
      </w:r>
      <w:r w:rsidR="00164BDE" w:rsidRPr="00183207">
        <w:rPr>
          <w:sz w:val="20"/>
          <w:szCs w:val="20"/>
          <w:lang w:val="en-GB"/>
        </w:rPr>
        <w:t>iegler</w:t>
      </w:r>
      <w:proofErr w:type="spellEnd"/>
      <w:r w:rsidR="00164BDE" w:rsidRPr="00183207">
        <w:rPr>
          <w:sz w:val="20"/>
          <w:szCs w:val="20"/>
          <w:lang w:val="en-GB"/>
        </w:rPr>
        <w:t xml:space="preserve">, 2000; </w:t>
      </w:r>
      <w:r w:rsidR="00904C82" w:rsidRPr="00183207">
        <w:rPr>
          <w:sz w:val="20"/>
          <w:szCs w:val="20"/>
          <w:lang w:val="en-GB"/>
        </w:rPr>
        <w:t>Farmer et al., 2002</w:t>
      </w:r>
      <w:r w:rsidRPr="00183207">
        <w:rPr>
          <w:sz w:val="20"/>
          <w:szCs w:val="20"/>
          <w:lang w:val="en-GB"/>
        </w:rPr>
        <w:t>)</w:t>
      </w:r>
      <w:r w:rsidR="0075496F" w:rsidRPr="00183207">
        <w:rPr>
          <w:sz w:val="20"/>
          <w:szCs w:val="20"/>
          <w:lang w:val="en-GB"/>
        </w:rPr>
        <w:t xml:space="preserve">.  </w:t>
      </w:r>
      <w:r w:rsidR="00040EDF" w:rsidRPr="00183207">
        <w:rPr>
          <w:sz w:val="20"/>
          <w:szCs w:val="20"/>
          <w:lang w:val="en-GB"/>
        </w:rPr>
        <w:t>On the other hand</w:t>
      </w:r>
      <w:r w:rsidRPr="00183207">
        <w:rPr>
          <w:sz w:val="20"/>
          <w:szCs w:val="20"/>
          <w:lang w:val="en-GB"/>
        </w:rPr>
        <w:t>, the findings of t</w:t>
      </w:r>
      <w:r w:rsidRPr="00183207">
        <w:rPr>
          <w:rStyle w:val="CommentReference"/>
          <w:vanish/>
          <w:sz w:val="20"/>
          <w:szCs w:val="20"/>
          <w:lang w:val="en-GB"/>
        </w:rPr>
        <w:t xml:space="preserve">ttt      </w:t>
      </w:r>
      <w:r w:rsidRPr="00183207">
        <w:rPr>
          <w:sz w:val="20"/>
          <w:szCs w:val="20"/>
          <w:lang w:val="en-GB"/>
        </w:rPr>
        <w:t>his research are in conflict with the research findings which took place involving sighted adults where neuroticism is negat</w:t>
      </w:r>
      <w:r w:rsidR="00164BDE" w:rsidRPr="00183207">
        <w:rPr>
          <w:sz w:val="20"/>
          <w:szCs w:val="20"/>
          <w:lang w:val="en-GB"/>
        </w:rPr>
        <w:t>ively correlated to age (Costa et al.</w:t>
      </w:r>
      <w:r w:rsidR="00904C82" w:rsidRPr="00183207">
        <w:rPr>
          <w:sz w:val="20"/>
          <w:szCs w:val="20"/>
          <w:lang w:val="en-GB"/>
        </w:rPr>
        <w:t>, 2000; Farmer</w:t>
      </w:r>
      <w:r w:rsidRPr="00183207">
        <w:rPr>
          <w:sz w:val="20"/>
          <w:szCs w:val="20"/>
          <w:lang w:val="en-GB"/>
        </w:rPr>
        <w:t xml:space="preserve"> et al., 2002)</w:t>
      </w:r>
      <w:r w:rsidR="0075496F" w:rsidRPr="00183207">
        <w:rPr>
          <w:sz w:val="20"/>
          <w:szCs w:val="20"/>
          <w:lang w:val="en-GB"/>
        </w:rPr>
        <w:t xml:space="preserve">.  </w:t>
      </w:r>
    </w:p>
    <w:p w:rsidR="00183207" w:rsidRDefault="00183207" w:rsidP="00183207">
      <w:pPr>
        <w:jc w:val="both"/>
        <w:rPr>
          <w:sz w:val="20"/>
          <w:szCs w:val="20"/>
          <w:lang w:val="en-GB"/>
        </w:rPr>
      </w:pPr>
    </w:p>
    <w:p w:rsidR="00FA55EF" w:rsidRPr="00183207" w:rsidRDefault="009A4CE9" w:rsidP="00183207">
      <w:pPr>
        <w:jc w:val="both"/>
        <w:rPr>
          <w:sz w:val="20"/>
          <w:szCs w:val="20"/>
          <w:lang w:val="en-US" w:eastAsia="en-US"/>
        </w:rPr>
      </w:pPr>
      <w:r w:rsidRPr="00183207">
        <w:rPr>
          <w:sz w:val="20"/>
          <w:szCs w:val="20"/>
          <w:lang w:val="en-GB"/>
        </w:rPr>
        <w:t>In this research, the women with visual impairment</w:t>
      </w:r>
      <w:r w:rsidR="00F75AE5" w:rsidRPr="00183207">
        <w:rPr>
          <w:sz w:val="20"/>
          <w:szCs w:val="20"/>
          <w:lang w:val="en-GB"/>
        </w:rPr>
        <w:t>s</w:t>
      </w:r>
      <w:r w:rsidRPr="00183207">
        <w:rPr>
          <w:sz w:val="20"/>
          <w:szCs w:val="20"/>
          <w:lang w:val="en-GB"/>
        </w:rPr>
        <w:t xml:space="preserve"> show </w:t>
      </w:r>
      <w:r w:rsidR="00EA6950" w:rsidRPr="00183207">
        <w:rPr>
          <w:sz w:val="20"/>
          <w:szCs w:val="20"/>
          <w:lang w:val="en-US"/>
        </w:rPr>
        <w:t>a higher score on the neuroticism scale</w:t>
      </w:r>
      <w:r w:rsidR="00EA6950" w:rsidRPr="00183207">
        <w:rPr>
          <w:sz w:val="20"/>
          <w:szCs w:val="20"/>
          <w:lang w:val="en-GB"/>
        </w:rPr>
        <w:t xml:space="preserve"> </w:t>
      </w:r>
      <w:r w:rsidRPr="00183207">
        <w:rPr>
          <w:sz w:val="20"/>
          <w:szCs w:val="20"/>
          <w:lang w:val="en-GB"/>
        </w:rPr>
        <w:t>than the men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>The findings were similar to research done on a population of individuals with visual impairment</w:t>
      </w:r>
      <w:r w:rsidR="00F75AE5" w:rsidRPr="00183207">
        <w:rPr>
          <w:sz w:val="20"/>
          <w:szCs w:val="20"/>
          <w:lang w:val="en-GB"/>
        </w:rPr>
        <w:t>s</w:t>
      </w:r>
      <w:r w:rsidRPr="00183207">
        <w:rPr>
          <w:sz w:val="20"/>
          <w:szCs w:val="20"/>
          <w:lang w:val="en-GB"/>
        </w:rPr>
        <w:t xml:space="preserve"> </w:t>
      </w:r>
      <w:r w:rsidR="003017B5" w:rsidRPr="00183207">
        <w:rPr>
          <w:sz w:val="20"/>
          <w:szCs w:val="20"/>
          <w:lang w:val="en-GB"/>
        </w:rPr>
        <w:t>(</w:t>
      </w:r>
      <w:proofErr w:type="spellStart"/>
      <w:r w:rsidR="003017B5" w:rsidRPr="00183207">
        <w:rPr>
          <w:sz w:val="20"/>
          <w:szCs w:val="20"/>
          <w:lang w:val="en-GB"/>
        </w:rPr>
        <w:t>Klinkosz</w:t>
      </w:r>
      <w:proofErr w:type="spellEnd"/>
      <w:r w:rsidR="003017B5" w:rsidRPr="00183207">
        <w:rPr>
          <w:sz w:val="20"/>
          <w:szCs w:val="20"/>
          <w:lang w:val="en-GB"/>
        </w:rPr>
        <w:t xml:space="preserve"> et al.</w:t>
      </w:r>
      <w:r w:rsidRPr="00183207">
        <w:rPr>
          <w:sz w:val="20"/>
          <w:szCs w:val="20"/>
          <w:lang w:val="en-GB"/>
        </w:rPr>
        <w:t xml:space="preserve">, 2006), as well as on sighted individuals (Aluja, Garcia, &amp; Garcia, 2002; </w:t>
      </w:r>
      <w:proofErr w:type="spellStart"/>
      <w:r w:rsidRPr="00183207">
        <w:rPr>
          <w:sz w:val="20"/>
          <w:szCs w:val="20"/>
          <w:lang w:val="en-GB"/>
        </w:rPr>
        <w:t>Budaev</w:t>
      </w:r>
      <w:proofErr w:type="spellEnd"/>
      <w:r w:rsidRPr="00183207">
        <w:rPr>
          <w:sz w:val="20"/>
          <w:szCs w:val="20"/>
          <w:lang w:val="en-GB"/>
        </w:rPr>
        <w:t xml:space="preserve">, 1999; Costa, </w:t>
      </w:r>
      <w:proofErr w:type="spellStart"/>
      <w:r w:rsidRPr="00183207">
        <w:rPr>
          <w:sz w:val="20"/>
          <w:szCs w:val="20"/>
          <w:lang w:val="en-GB"/>
        </w:rPr>
        <w:t>Terr</w:t>
      </w:r>
      <w:r w:rsidR="004E45DE" w:rsidRPr="00183207">
        <w:rPr>
          <w:sz w:val="20"/>
          <w:szCs w:val="20"/>
          <w:lang w:val="en-GB"/>
        </w:rPr>
        <w:t>acciano</w:t>
      </w:r>
      <w:proofErr w:type="spellEnd"/>
      <w:r w:rsidR="004E45DE" w:rsidRPr="00183207">
        <w:rPr>
          <w:sz w:val="20"/>
          <w:szCs w:val="20"/>
          <w:lang w:val="en-GB"/>
        </w:rPr>
        <w:t>, &amp; McCrae, 2001; Farmer</w:t>
      </w:r>
      <w:r w:rsidRPr="00183207">
        <w:rPr>
          <w:sz w:val="20"/>
          <w:szCs w:val="20"/>
          <w:lang w:val="en-GB"/>
        </w:rPr>
        <w:t xml:space="preserve"> et al</w:t>
      </w:r>
      <w:r w:rsidR="004E45DE" w:rsidRPr="00183207">
        <w:rPr>
          <w:sz w:val="20"/>
          <w:szCs w:val="20"/>
          <w:lang w:val="en-GB"/>
        </w:rPr>
        <w:t>.</w:t>
      </w:r>
      <w:r w:rsidRPr="00183207">
        <w:rPr>
          <w:sz w:val="20"/>
          <w:szCs w:val="20"/>
          <w:lang w:val="en-GB"/>
        </w:rPr>
        <w:t>, 2002; Lynn &amp; Martin, 1997; Wilson &amp; Doolabh, 1992)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 xml:space="preserve">For example, </w:t>
      </w:r>
      <w:r w:rsidRPr="00183207">
        <w:rPr>
          <w:sz w:val="20"/>
          <w:szCs w:val="20"/>
          <w:lang w:val="en-US" w:eastAsia="en-US"/>
        </w:rPr>
        <w:t>elevated neuroticism scores in female subjects have been reported previously by Katz and McGuffin (1987).</w:t>
      </w:r>
    </w:p>
    <w:p w:rsidR="00183207" w:rsidRDefault="00183207" w:rsidP="00183207">
      <w:pPr>
        <w:jc w:val="both"/>
        <w:rPr>
          <w:i/>
          <w:sz w:val="20"/>
          <w:szCs w:val="20"/>
          <w:lang w:val="en-GB"/>
        </w:rPr>
      </w:pPr>
    </w:p>
    <w:p w:rsidR="009A4CE9" w:rsidRPr="00183207" w:rsidRDefault="009A4CE9" w:rsidP="00183207">
      <w:pPr>
        <w:jc w:val="both"/>
        <w:rPr>
          <w:i/>
          <w:sz w:val="20"/>
          <w:szCs w:val="20"/>
          <w:lang w:val="en-GB"/>
        </w:rPr>
      </w:pPr>
      <w:r w:rsidRPr="00183207">
        <w:rPr>
          <w:i/>
          <w:sz w:val="20"/>
          <w:szCs w:val="20"/>
          <w:lang w:val="en-GB"/>
        </w:rPr>
        <w:t>Limitations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 xml:space="preserve">Researchers commonly modify the way in which the tests are administered, which have been designed to test sighted individuals </w:t>
      </w:r>
      <w:r w:rsidR="00F81FA1" w:rsidRPr="00183207">
        <w:rPr>
          <w:sz w:val="20"/>
          <w:szCs w:val="20"/>
          <w:lang w:val="en-US"/>
        </w:rPr>
        <w:t>–</w:t>
      </w:r>
      <w:r w:rsidRPr="00183207">
        <w:rPr>
          <w:color w:val="0000FF"/>
          <w:sz w:val="20"/>
          <w:szCs w:val="20"/>
          <w:lang w:val="en-US"/>
        </w:rPr>
        <w:t xml:space="preserve"> </w:t>
      </w:r>
      <w:r w:rsidR="00F81FA1" w:rsidRPr="00183207">
        <w:rPr>
          <w:sz w:val="20"/>
          <w:szCs w:val="20"/>
          <w:lang w:val="en-US"/>
        </w:rPr>
        <w:t>they administer</w:t>
      </w:r>
      <w:r w:rsidRPr="00183207">
        <w:rPr>
          <w:sz w:val="20"/>
          <w:szCs w:val="20"/>
          <w:lang w:val="en-US"/>
        </w:rPr>
        <w:t xml:space="preserve"> the test orally and simulta</w:t>
      </w:r>
      <w:r w:rsidR="00F81FA1" w:rsidRPr="00183207">
        <w:rPr>
          <w:sz w:val="20"/>
          <w:szCs w:val="20"/>
          <w:lang w:val="en-US"/>
        </w:rPr>
        <w:t>neously record</w:t>
      </w:r>
      <w:r w:rsidRPr="00183207">
        <w:rPr>
          <w:sz w:val="20"/>
          <w:szCs w:val="20"/>
          <w:lang w:val="en-US"/>
        </w:rPr>
        <w:t xml:space="preserve"> the answers</w:t>
      </w:r>
      <w:r w:rsidR="0075496F" w:rsidRPr="00183207">
        <w:rPr>
          <w:sz w:val="20"/>
          <w:szCs w:val="20"/>
          <w:lang w:val="en-US"/>
        </w:rPr>
        <w:t xml:space="preserve">.  </w:t>
      </w:r>
      <w:r w:rsidR="00F81FA1" w:rsidRPr="00183207">
        <w:rPr>
          <w:sz w:val="20"/>
          <w:szCs w:val="20"/>
          <w:lang w:val="en-US"/>
        </w:rPr>
        <w:t>This specific procedure was followed in the</w:t>
      </w:r>
      <w:r w:rsidRPr="00183207">
        <w:rPr>
          <w:sz w:val="20"/>
          <w:szCs w:val="20"/>
          <w:lang w:val="en-US"/>
        </w:rPr>
        <w:t xml:space="preserve"> present study</w:t>
      </w:r>
      <w:r w:rsidR="00F81FA1" w:rsidRPr="00183207">
        <w:rPr>
          <w:sz w:val="20"/>
          <w:szCs w:val="20"/>
          <w:lang w:val="en-US"/>
        </w:rPr>
        <w:t xml:space="preserve"> as well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 xml:space="preserve">This procedure does not allow the </w:t>
      </w:r>
      <w:r w:rsidR="00917A53" w:rsidRPr="00183207">
        <w:rPr>
          <w:sz w:val="20"/>
          <w:szCs w:val="20"/>
          <w:lang w:val="en-GB"/>
        </w:rPr>
        <w:t xml:space="preserve">participants with visual impairments </w:t>
      </w:r>
      <w:r w:rsidRPr="00183207">
        <w:rPr>
          <w:sz w:val="20"/>
          <w:szCs w:val="20"/>
          <w:lang w:val="en-US"/>
        </w:rPr>
        <w:t>to do the test in the same manner as t</w:t>
      </w:r>
      <w:r w:rsidR="004E45DE" w:rsidRPr="00183207">
        <w:rPr>
          <w:sz w:val="20"/>
          <w:szCs w:val="20"/>
          <w:lang w:val="en-US"/>
        </w:rPr>
        <w:t>he sighted participants (</w:t>
      </w:r>
      <w:proofErr w:type="spellStart"/>
      <w:r w:rsidR="004E45DE" w:rsidRPr="00183207">
        <w:rPr>
          <w:sz w:val="20"/>
          <w:szCs w:val="20"/>
          <w:lang w:val="en-US"/>
        </w:rPr>
        <w:t>Haymes</w:t>
      </w:r>
      <w:proofErr w:type="spellEnd"/>
      <w:r w:rsidRPr="00183207">
        <w:rPr>
          <w:sz w:val="20"/>
          <w:szCs w:val="20"/>
          <w:lang w:val="en-US"/>
        </w:rPr>
        <w:t xml:space="preserve"> et al., 1996)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GB"/>
        </w:rPr>
        <w:t>It certainly would have been preferable for the answers to the questionnaire to have been able to be completed using alternative methods, in order to avoid the presence of the res</w:t>
      </w:r>
      <w:r w:rsidR="001E7EEF" w:rsidRPr="00183207">
        <w:rPr>
          <w:sz w:val="20"/>
          <w:szCs w:val="20"/>
          <w:lang w:val="en-GB"/>
        </w:rPr>
        <w:t>earcher</w:t>
      </w:r>
      <w:r w:rsidR="0075496F" w:rsidRPr="00183207">
        <w:rPr>
          <w:sz w:val="20"/>
          <w:szCs w:val="20"/>
          <w:lang w:val="en-GB"/>
        </w:rPr>
        <w:t xml:space="preserve">.  </w:t>
      </w:r>
      <w:r w:rsidR="001E7EEF" w:rsidRPr="00183207">
        <w:rPr>
          <w:sz w:val="20"/>
          <w:szCs w:val="20"/>
          <w:lang w:val="en-GB"/>
        </w:rPr>
        <w:t xml:space="preserve">For example, the </w:t>
      </w:r>
      <w:r w:rsidRPr="00183207">
        <w:rPr>
          <w:sz w:val="20"/>
          <w:szCs w:val="20"/>
          <w:lang w:val="en-GB"/>
        </w:rPr>
        <w:t xml:space="preserve">individuals </w:t>
      </w:r>
      <w:r w:rsidR="001E7EEF" w:rsidRPr="00183207">
        <w:rPr>
          <w:sz w:val="20"/>
          <w:szCs w:val="20"/>
          <w:lang w:val="en-GB"/>
        </w:rPr>
        <w:t xml:space="preserve">with blindness </w:t>
      </w:r>
      <w:r w:rsidRPr="00183207">
        <w:rPr>
          <w:sz w:val="20"/>
          <w:szCs w:val="20"/>
          <w:lang w:val="en-GB"/>
        </w:rPr>
        <w:t>could have answered the questionnaire by using a computer and screen reading software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>Recent attempts have been made to implement these alternative forms of presentation in order to be used by individuals with visual impairment</w:t>
      </w:r>
      <w:r w:rsidR="00F75AE5" w:rsidRPr="00183207">
        <w:rPr>
          <w:sz w:val="20"/>
          <w:szCs w:val="20"/>
          <w:lang w:val="en-GB"/>
        </w:rPr>
        <w:t>s</w:t>
      </w:r>
      <w:r w:rsidRPr="00183207">
        <w:rPr>
          <w:sz w:val="20"/>
          <w:szCs w:val="20"/>
          <w:lang w:val="en-GB"/>
        </w:rPr>
        <w:t xml:space="preserve"> (see Papadopoulos &amp; </w:t>
      </w:r>
      <w:proofErr w:type="spellStart"/>
      <w:r w:rsidRPr="00183207">
        <w:rPr>
          <w:sz w:val="20"/>
          <w:szCs w:val="20"/>
          <w:lang w:val="en-GB"/>
        </w:rPr>
        <w:t>Goudiras</w:t>
      </w:r>
      <w:proofErr w:type="spellEnd"/>
      <w:r w:rsidRPr="00183207">
        <w:rPr>
          <w:sz w:val="20"/>
          <w:szCs w:val="20"/>
          <w:lang w:val="en-GB"/>
        </w:rPr>
        <w:t>, 2004)</w:t>
      </w:r>
      <w:r w:rsidR="0075496F" w:rsidRPr="00183207">
        <w:rPr>
          <w:sz w:val="20"/>
          <w:szCs w:val="20"/>
          <w:lang w:val="en-GB"/>
        </w:rPr>
        <w:t xml:space="preserve">.  </w:t>
      </w:r>
      <w:r w:rsidRPr="00183207">
        <w:rPr>
          <w:sz w:val="20"/>
          <w:szCs w:val="20"/>
          <w:lang w:val="en-GB"/>
        </w:rPr>
        <w:t>Moreover, t</w:t>
      </w:r>
      <w:r w:rsidRPr="00183207">
        <w:rPr>
          <w:sz w:val="20"/>
          <w:szCs w:val="20"/>
          <w:lang w:val="en-US"/>
        </w:rPr>
        <w:t xml:space="preserve">he method involving a cassette recorder along with a braille answer sheet could be used (Johnson, 1989), which allows the </w:t>
      </w:r>
      <w:r w:rsidR="00917A53" w:rsidRPr="00183207">
        <w:rPr>
          <w:sz w:val="20"/>
          <w:szCs w:val="20"/>
          <w:lang w:val="en-GB"/>
        </w:rPr>
        <w:t>participants with visual impairments</w:t>
      </w:r>
      <w:r w:rsidR="00917A53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to complete his test on his own</w:t>
      </w:r>
      <w:r w:rsidR="0075496F" w:rsidRPr="00183207">
        <w:rPr>
          <w:sz w:val="20"/>
          <w:szCs w:val="20"/>
          <w:lang w:val="en-US"/>
        </w:rPr>
        <w:t xml:space="preserve">.  </w:t>
      </w:r>
      <w:r w:rsidRPr="00183207">
        <w:rPr>
          <w:sz w:val="20"/>
          <w:szCs w:val="20"/>
          <w:lang w:val="en-US"/>
        </w:rPr>
        <w:t xml:space="preserve">More recently (Reid, 2000), alternative test application methods were put forward, such </w:t>
      </w:r>
      <w:r w:rsidRPr="00183207">
        <w:rPr>
          <w:sz w:val="20"/>
          <w:szCs w:val="20"/>
          <w:lang w:val="en-US"/>
        </w:rPr>
        <w:lastRenderedPageBreak/>
        <w:t>as incorporating low vision aids, CCTV (closed-circuit television) and OCR (optical character reader), which can improve the credibility of the results.</w:t>
      </w:r>
    </w:p>
    <w:p w:rsidR="00183207" w:rsidRDefault="00183207" w:rsidP="00183207">
      <w:pPr>
        <w:pStyle w:val="BodyText"/>
        <w:spacing w:after="0"/>
        <w:jc w:val="both"/>
        <w:rPr>
          <w:bCs/>
          <w:sz w:val="20"/>
          <w:szCs w:val="20"/>
          <w:lang w:val="en-US"/>
        </w:rPr>
      </w:pPr>
    </w:p>
    <w:p w:rsidR="009A4CE9" w:rsidRPr="00183207" w:rsidRDefault="009A4CE9" w:rsidP="00183207">
      <w:pPr>
        <w:pStyle w:val="BodyText"/>
        <w:spacing w:after="0"/>
        <w:jc w:val="both"/>
        <w:rPr>
          <w:b/>
          <w:bCs/>
          <w:sz w:val="20"/>
          <w:szCs w:val="20"/>
          <w:lang w:val="en-US"/>
        </w:rPr>
      </w:pPr>
      <w:r w:rsidRPr="00183207">
        <w:rPr>
          <w:b/>
          <w:bCs/>
          <w:sz w:val="20"/>
          <w:szCs w:val="20"/>
          <w:lang w:val="en-US"/>
        </w:rPr>
        <w:t>References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fr-FR"/>
        </w:rPr>
        <w:t>Adrian, R.</w:t>
      </w:r>
      <w:r w:rsidR="001C192D" w:rsidRPr="00183207">
        <w:rPr>
          <w:sz w:val="20"/>
          <w:szCs w:val="20"/>
          <w:lang w:val="fr-FR"/>
        </w:rPr>
        <w:t xml:space="preserve"> </w:t>
      </w:r>
      <w:r w:rsidRPr="00183207">
        <w:rPr>
          <w:sz w:val="20"/>
          <w:szCs w:val="20"/>
          <w:lang w:val="fr-FR"/>
        </w:rPr>
        <w:t>J., Miller, L.</w:t>
      </w:r>
      <w:r w:rsidR="001C192D" w:rsidRPr="00183207">
        <w:rPr>
          <w:sz w:val="20"/>
          <w:szCs w:val="20"/>
          <w:lang w:val="fr-FR"/>
        </w:rPr>
        <w:t xml:space="preserve"> </w:t>
      </w:r>
      <w:r w:rsidRPr="00183207">
        <w:rPr>
          <w:sz w:val="20"/>
          <w:szCs w:val="20"/>
          <w:lang w:val="fr-FR"/>
        </w:rPr>
        <w:t>R., &amp; De l'Aune, W.</w:t>
      </w:r>
      <w:r w:rsidR="001C192D" w:rsidRPr="00183207">
        <w:rPr>
          <w:sz w:val="20"/>
          <w:szCs w:val="20"/>
          <w:lang w:val="fr-FR"/>
        </w:rPr>
        <w:t xml:space="preserve"> </w:t>
      </w:r>
      <w:r w:rsidRPr="00183207">
        <w:rPr>
          <w:sz w:val="20"/>
          <w:szCs w:val="20"/>
          <w:lang w:val="fr-FR"/>
        </w:rPr>
        <w:t xml:space="preserve">R. (1982). </w:t>
      </w:r>
      <w:proofErr w:type="gramStart"/>
      <w:r w:rsidRPr="00183207">
        <w:rPr>
          <w:rStyle w:val="hit"/>
          <w:sz w:val="20"/>
          <w:szCs w:val="20"/>
          <w:lang w:val="en-US"/>
        </w:rPr>
        <w:t>Personality</w:t>
      </w:r>
      <w:r w:rsidRPr="00183207">
        <w:rPr>
          <w:sz w:val="20"/>
          <w:szCs w:val="20"/>
          <w:lang w:val="en-US"/>
        </w:rPr>
        <w:t xml:space="preserve"> assessment of early visually impaired persons using the CPI and the MMPI.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 xml:space="preserve">Journal of </w:t>
      </w:r>
      <w:r w:rsidRPr="00183207">
        <w:rPr>
          <w:rStyle w:val="hit"/>
          <w:i/>
          <w:iCs/>
          <w:sz w:val="20"/>
          <w:szCs w:val="20"/>
          <w:lang w:val="en-US"/>
        </w:rPr>
        <w:t>Visual</w:t>
      </w:r>
      <w:r w:rsidRPr="00183207">
        <w:rPr>
          <w:i/>
          <w:iCs/>
          <w:sz w:val="20"/>
          <w:szCs w:val="20"/>
          <w:lang w:val="en-US"/>
        </w:rPr>
        <w:t xml:space="preserve"> </w:t>
      </w:r>
      <w:r w:rsidRPr="00183207">
        <w:rPr>
          <w:rStyle w:val="hit"/>
          <w:i/>
          <w:iCs/>
          <w:sz w:val="20"/>
          <w:szCs w:val="20"/>
          <w:lang w:val="en-US"/>
        </w:rPr>
        <w:t>Impairment</w:t>
      </w:r>
      <w:r w:rsidRPr="00183207">
        <w:rPr>
          <w:i/>
          <w:iCs/>
          <w:sz w:val="20"/>
          <w:szCs w:val="20"/>
          <w:lang w:val="en-US"/>
        </w:rPr>
        <w:t xml:space="preserve"> &amp; Blindness, 76</w:t>
      </w:r>
      <w:r w:rsidRPr="00183207">
        <w:rPr>
          <w:sz w:val="20"/>
          <w:szCs w:val="20"/>
          <w:lang w:val="en-US"/>
        </w:rPr>
        <w:t>, 172-178.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Alexopoulos, D., &amp; Kalaitzidis, I. (2004).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Psychometric properties of Eysenck Personality Questionnaire-Revised (EPQ-R) Short Scale in Greece.</w:t>
      </w:r>
      <w:proofErr w:type="gramEnd"/>
      <w:r w:rsidRPr="00183207">
        <w:rPr>
          <w:i/>
          <w:iCs/>
          <w:sz w:val="20"/>
          <w:szCs w:val="20"/>
          <w:lang w:val="en-US"/>
        </w:rPr>
        <w:t xml:space="preserve"> Personality and Individual Differences</w:t>
      </w:r>
      <w:r w:rsidRPr="00183207">
        <w:rPr>
          <w:sz w:val="20"/>
          <w:szCs w:val="20"/>
          <w:lang w:val="en-US"/>
        </w:rPr>
        <w:t xml:space="preserve">, </w:t>
      </w:r>
      <w:r w:rsidRPr="00183207">
        <w:rPr>
          <w:i/>
          <w:iCs/>
          <w:sz w:val="20"/>
          <w:szCs w:val="20"/>
          <w:lang w:val="en-US"/>
        </w:rPr>
        <w:t>37</w:t>
      </w:r>
      <w:r w:rsidRPr="00183207">
        <w:rPr>
          <w:sz w:val="20"/>
          <w:szCs w:val="20"/>
          <w:lang w:val="en-US"/>
        </w:rPr>
        <w:t>, 1205-1220.</w:t>
      </w:r>
      <w:r w:rsidR="003B3947" w:rsidRPr="00183207">
        <w:rPr>
          <w:sz w:val="20"/>
          <w:szCs w:val="20"/>
          <w:lang w:val="en-US"/>
        </w:rPr>
        <w:t xml:space="preserve"> </w:t>
      </w:r>
      <w:r w:rsidR="003B3947" w:rsidRPr="00183207">
        <w:rPr>
          <w:sz w:val="20"/>
          <w:szCs w:val="20"/>
        </w:rPr>
        <w:t>doi:10.1016/j.paid.2003.12.005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Aluj</w:t>
      </w:r>
      <w:r w:rsidR="00074EFD" w:rsidRPr="00183207">
        <w:rPr>
          <w:sz w:val="20"/>
          <w:szCs w:val="20"/>
          <w:lang w:val="en-US"/>
        </w:rPr>
        <w:t>a</w:t>
      </w:r>
      <w:proofErr w:type="spellEnd"/>
      <w:r w:rsidR="00074EFD" w:rsidRPr="00183207">
        <w:rPr>
          <w:sz w:val="20"/>
          <w:szCs w:val="20"/>
          <w:lang w:val="en-US"/>
        </w:rPr>
        <w:t>, A., Garcia, O., &amp; Garcia,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F. (2002).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A comparative study of Zuckerman’s three structural models for personality through the NEO-PI-R, ZKPQ-III-Q, EPQ-RS and Goldberg’s 50-bipolar adjectives.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>Personality and Individual Differences, 33</w:t>
      </w:r>
      <w:r w:rsidRPr="00183207">
        <w:rPr>
          <w:sz w:val="20"/>
          <w:szCs w:val="20"/>
          <w:lang w:val="en-US"/>
        </w:rPr>
        <w:t>, 713–725.</w:t>
      </w:r>
      <w:r w:rsidR="003B3947" w:rsidRPr="00183207">
        <w:rPr>
          <w:sz w:val="20"/>
          <w:szCs w:val="20"/>
          <w:lang w:val="en-US"/>
        </w:rPr>
        <w:t xml:space="preserve"> </w:t>
      </w:r>
      <w:r w:rsidR="003B3947" w:rsidRPr="00183207">
        <w:rPr>
          <w:sz w:val="20"/>
          <w:szCs w:val="20"/>
        </w:rPr>
        <w:t>doi:10.1016/S0191-8869(01)00186-6</w:t>
      </w:r>
    </w:p>
    <w:p w:rsidR="00523CFE" w:rsidRPr="00183207" w:rsidRDefault="00074EFD" w:rsidP="00183207">
      <w:pPr>
        <w:jc w:val="both"/>
        <w:rPr>
          <w:color w:val="000000"/>
          <w:spacing w:val="-1"/>
          <w:w w:val="105"/>
          <w:sz w:val="20"/>
          <w:szCs w:val="20"/>
          <w:lang w:val="en-US"/>
        </w:rPr>
      </w:pPr>
      <w:proofErr w:type="spellStart"/>
      <w:r w:rsidRPr="00183207">
        <w:rPr>
          <w:sz w:val="20"/>
          <w:szCs w:val="20"/>
          <w:lang w:val="en-US" w:eastAsia="en-US"/>
        </w:rPr>
        <w:t>Birley</w:t>
      </w:r>
      <w:proofErr w:type="spellEnd"/>
      <w:r w:rsidRPr="00183207">
        <w:rPr>
          <w:sz w:val="20"/>
          <w:szCs w:val="20"/>
          <w:lang w:val="en-US" w:eastAsia="en-US"/>
        </w:rPr>
        <w:t>, J.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>A., Gillespie, A.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>N., Heath, C.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>A., Sullivan, F.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 xml:space="preserve">P., </w:t>
      </w:r>
      <w:proofErr w:type="spellStart"/>
      <w:r w:rsidRPr="00183207">
        <w:rPr>
          <w:sz w:val="20"/>
          <w:szCs w:val="20"/>
          <w:lang w:val="en-US" w:eastAsia="en-US"/>
        </w:rPr>
        <w:t>Boomsma</w:t>
      </w:r>
      <w:proofErr w:type="spellEnd"/>
      <w:r w:rsidRPr="00183207">
        <w:rPr>
          <w:sz w:val="20"/>
          <w:szCs w:val="20"/>
          <w:lang w:val="en-US" w:eastAsia="en-US"/>
        </w:rPr>
        <w:t>, I.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="00841652" w:rsidRPr="00183207">
        <w:rPr>
          <w:sz w:val="20"/>
          <w:szCs w:val="20"/>
          <w:lang w:val="en-US" w:eastAsia="en-US"/>
        </w:rPr>
        <w:t>D.</w:t>
      </w:r>
      <w:r w:rsidRPr="00183207">
        <w:rPr>
          <w:sz w:val="20"/>
          <w:szCs w:val="20"/>
          <w:lang w:val="en-US" w:eastAsia="en-US"/>
        </w:rPr>
        <w:t>,</w:t>
      </w:r>
      <w:r w:rsidR="00841652" w:rsidRPr="00183207">
        <w:rPr>
          <w:sz w:val="20"/>
          <w:szCs w:val="20"/>
          <w:lang w:val="en-US" w:eastAsia="en-US"/>
        </w:rPr>
        <w:t xml:space="preserve"> &amp; Martin,</w:t>
      </w:r>
      <w:r w:rsidRPr="00183207">
        <w:rPr>
          <w:sz w:val="20"/>
          <w:szCs w:val="20"/>
          <w:lang w:val="en-US" w:eastAsia="en-US"/>
        </w:rPr>
        <w:t xml:space="preserve"> G.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="002333A9" w:rsidRPr="00183207">
        <w:rPr>
          <w:sz w:val="20"/>
          <w:szCs w:val="20"/>
          <w:lang w:val="en-US" w:eastAsia="en-US"/>
        </w:rPr>
        <w:t>N.</w:t>
      </w:r>
      <w:r w:rsidR="00841652" w:rsidRPr="00183207">
        <w:rPr>
          <w:sz w:val="20"/>
          <w:szCs w:val="20"/>
          <w:lang w:val="en-US" w:eastAsia="en-US"/>
        </w:rPr>
        <w:t xml:space="preserve"> </w:t>
      </w:r>
      <w:r w:rsidR="002333A9" w:rsidRPr="00183207">
        <w:rPr>
          <w:sz w:val="20"/>
          <w:szCs w:val="20"/>
          <w:lang w:val="en-US" w:eastAsia="en-US"/>
        </w:rPr>
        <w:t>(</w:t>
      </w:r>
      <w:r w:rsidR="00841652" w:rsidRPr="00183207">
        <w:rPr>
          <w:sz w:val="20"/>
          <w:szCs w:val="20"/>
          <w:lang w:val="en-US" w:eastAsia="en-US"/>
        </w:rPr>
        <w:t>2006</w:t>
      </w:r>
      <w:r w:rsidR="002333A9" w:rsidRPr="00183207">
        <w:rPr>
          <w:sz w:val="20"/>
          <w:szCs w:val="20"/>
          <w:lang w:val="en-US" w:eastAsia="en-US"/>
        </w:rPr>
        <w:t xml:space="preserve">). Heritability and nineteen-year stability of long and short EPQ-R Neuroticism scales. </w:t>
      </w:r>
      <w:r w:rsidR="002333A9" w:rsidRPr="00183207">
        <w:rPr>
          <w:i/>
          <w:iCs/>
          <w:color w:val="000000"/>
          <w:spacing w:val="-1"/>
          <w:w w:val="105"/>
          <w:sz w:val="20"/>
          <w:szCs w:val="20"/>
          <w:lang w:val="en-US"/>
        </w:rPr>
        <w:t>Personality and Individual Differences, 40,</w:t>
      </w:r>
      <w:r w:rsidR="002333A9" w:rsidRPr="00183207">
        <w:rPr>
          <w:color w:val="000000"/>
          <w:spacing w:val="-1"/>
          <w:w w:val="105"/>
          <w:sz w:val="20"/>
          <w:szCs w:val="20"/>
          <w:lang w:val="en-US"/>
        </w:rPr>
        <w:t xml:space="preserve"> 737-747.</w:t>
      </w:r>
      <w:r w:rsidR="00B72F05" w:rsidRPr="00183207">
        <w:rPr>
          <w:color w:val="000000"/>
          <w:spacing w:val="-1"/>
          <w:w w:val="105"/>
          <w:sz w:val="20"/>
          <w:szCs w:val="20"/>
          <w:lang w:val="en-US"/>
        </w:rPr>
        <w:t xml:space="preserve"> </w:t>
      </w:r>
      <w:r w:rsidR="00B72F05" w:rsidRPr="00183207">
        <w:rPr>
          <w:sz w:val="20"/>
          <w:szCs w:val="20"/>
        </w:rPr>
        <w:t>doi:10.1016/j.paid.2005.09.005</w:t>
      </w:r>
    </w:p>
    <w:p w:rsidR="00523CFE" w:rsidRPr="00183207" w:rsidRDefault="00523CFE" w:rsidP="00183207">
      <w:pPr>
        <w:jc w:val="both"/>
        <w:rPr>
          <w:color w:val="000000"/>
          <w:spacing w:val="-1"/>
          <w:w w:val="105"/>
          <w:sz w:val="20"/>
          <w:szCs w:val="20"/>
          <w:lang w:val="en-US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Boerner</w:t>
      </w:r>
      <w:proofErr w:type="spellEnd"/>
      <w:r w:rsidRPr="00183207">
        <w:rPr>
          <w:sz w:val="20"/>
          <w:szCs w:val="20"/>
          <w:lang w:val="en-US"/>
        </w:rPr>
        <w:t>, K., Wang, S.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W., &amp; </w:t>
      </w:r>
      <w:proofErr w:type="spellStart"/>
      <w:r w:rsidRPr="00183207">
        <w:rPr>
          <w:sz w:val="20"/>
          <w:szCs w:val="20"/>
          <w:lang w:val="en-US"/>
        </w:rPr>
        <w:t>Cimarolli</w:t>
      </w:r>
      <w:proofErr w:type="spellEnd"/>
      <w:r w:rsidRPr="00183207">
        <w:rPr>
          <w:sz w:val="20"/>
          <w:szCs w:val="20"/>
          <w:lang w:val="en-US"/>
        </w:rPr>
        <w:t>, V.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R. (200</w:t>
      </w:r>
      <w:r w:rsidR="00891F23" w:rsidRPr="00183207">
        <w:rPr>
          <w:sz w:val="20"/>
          <w:szCs w:val="20"/>
          <w:lang w:val="en-US"/>
        </w:rPr>
        <w:t>6</w:t>
      </w:r>
      <w:r w:rsidRPr="00183207">
        <w:rPr>
          <w:sz w:val="20"/>
          <w:szCs w:val="20"/>
          <w:lang w:val="en-US"/>
        </w:rPr>
        <w:t>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</w:rPr>
        <w:t xml:space="preserve">The Impact of Functional Loss: Nature and Implications of Life Changes. </w:t>
      </w:r>
      <w:r w:rsidRPr="00183207">
        <w:rPr>
          <w:i/>
          <w:sz w:val="20"/>
          <w:szCs w:val="20"/>
        </w:rPr>
        <w:t xml:space="preserve">Journal of Loss and Trauma, 11(4), </w:t>
      </w:r>
      <w:r w:rsidRPr="00183207">
        <w:rPr>
          <w:sz w:val="20"/>
          <w:szCs w:val="20"/>
        </w:rPr>
        <w:t>265-287.</w:t>
      </w:r>
      <w:r w:rsidR="00045DA8" w:rsidRPr="00183207">
        <w:rPr>
          <w:sz w:val="20"/>
          <w:szCs w:val="20"/>
          <w:lang w:val="en-US"/>
        </w:rPr>
        <w:t xml:space="preserve"> </w:t>
      </w:r>
      <w:r w:rsidR="00045DA8" w:rsidRPr="00183207">
        <w:rPr>
          <w:sz w:val="20"/>
          <w:szCs w:val="20"/>
        </w:rPr>
        <w:t>doi:10.1080/15325020600662625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r w:rsidRPr="00183207">
        <w:rPr>
          <w:spacing w:val="4"/>
          <w:sz w:val="20"/>
          <w:szCs w:val="20"/>
          <w:lang w:val="en-US"/>
        </w:rPr>
        <w:t>Budaev</w:t>
      </w:r>
      <w:proofErr w:type="spellEnd"/>
      <w:r w:rsidRPr="00183207">
        <w:rPr>
          <w:spacing w:val="4"/>
          <w:sz w:val="20"/>
          <w:szCs w:val="20"/>
          <w:lang w:val="en-US"/>
        </w:rPr>
        <w:t>, S.</w:t>
      </w:r>
      <w:r w:rsidR="001C192D" w:rsidRPr="00183207">
        <w:rPr>
          <w:spacing w:val="4"/>
          <w:sz w:val="20"/>
          <w:szCs w:val="20"/>
          <w:lang w:val="en-US"/>
        </w:rPr>
        <w:t xml:space="preserve"> </w:t>
      </w:r>
      <w:r w:rsidRPr="00183207">
        <w:rPr>
          <w:spacing w:val="4"/>
          <w:sz w:val="20"/>
          <w:szCs w:val="20"/>
          <w:lang w:val="en-US"/>
        </w:rPr>
        <w:t xml:space="preserve">V. (1999). Sex differences in the Big Five personality factors: testing an evolutionary </w:t>
      </w:r>
      <w:r w:rsidRPr="00183207">
        <w:rPr>
          <w:spacing w:val="1"/>
          <w:sz w:val="20"/>
          <w:szCs w:val="20"/>
          <w:lang w:val="en-US"/>
        </w:rPr>
        <w:t xml:space="preserve">hypothesis. </w:t>
      </w:r>
      <w:r w:rsidRPr="00183207">
        <w:rPr>
          <w:i/>
          <w:iCs/>
          <w:spacing w:val="1"/>
          <w:sz w:val="20"/>
          <w:szCs w:val="20"/>
          <w:lang w:val="en-US"/>
        </w:rPr>
        <w:t>Personality and Individual Differences, 26</w:t>
      </w:r>
      <w:r w:rsidRPr="00183207">
        <w:rPr>
          <w:spacing w:val="1"/>
          <w:sz w:val="20"/>
          <w:szCs w:val="20"/>
          <w:lang w:val="en-US"/>
        </w:rPr>
        <w:t>, 801-813.</w:t>
      </w:r>
      <w:r w:rsidR="00045DA8" w:rsidRPr="00183207">
        <w:rPr>
          <w:spacing w:val="1"/>
          <w:sz w:val="20"/>
          <w:szCs w:val="20"/>
          <w:lang w:val="en-US"/>
        </w:rPr>
        <w:t xml:space="preserve"> </w:t>
      </w:r>
      <w:r w:rsidR="00045DA8" w:rsidRPr="00183207">
        <w:rPr>
          <w:sz w:val="20"/>
          <w:szCs w:val="20"/>
        </w:rPr>
        <w:t>doi:10.1016/S0191-8869(98)00179-2</w:t>
      </w:r>
    </w:p>
    <w:p w:rsidR="009A4CE9" w:rsidRPr="00183207" w:rsidRDefault="009A4CE9" w:rsidP="00183207">
      <w:pPr>
        <w:jc w:val="both"/>
        <w:rPr>
          <w:rStyle w:val="slug-doi"/>
          <w:b/>
          <w:bCs/>
          <w:color w:val="333300"/>
          <w:sz w:val="20"/>
          <w:szCs w:val="20"/>
        </w:rPr>
      </w:pPr>
      <w:proofErr w:type="gramStart"/>
      <w:r w:rsidRPr="00183207">
        <w:rPr>
          <w:spacing w:val="4"/>
          <w:sz w:val="20"/>
          <w:szCs w:val="20"/>
          <w:lang w:val="en-US"/>
        </w:rPr>
        <w:t>Costa, P.</w:t>
      </w:r>
      <w:r w:rsidR="001C192D" w:rsidRPr="00183207">
        <w:rPr>
          <w:spacing w:val="4"/>
          <w:sz w:val="20"/>
          <w:szCs w:val="20"/>
          <w:lang w:val="en-US"/>
        </w:rPr>
        <w:t xml:space="preserve"> </w:t>
      </w:r>
      <w:r w:rsidRPr="00183207">
        <w:rPr>
          <w:spacing w:val="4"/>
          <w:sz w:val="20"/>
          <w:szCs w:val="20"/>
          <w:lang w:val="en-US"/>
        </w:rPr>
        <w:t xml:space="preserve">T., </w:t>
      </w:r>
      <w:proofErr w:type="spellStart"/>
      <w:r w:rsidRPr="00183207">
        <w:rPr>
          <w:spacing w:val="4"/>
          <w:sz w:val="20"/>
          <w:szCs w:val="20"/>
          <w:lang w:val="en-US"/>
        </w:rPr>
        <w:t>Herbst</w:t>
      </w:r>
      <w:proofErr w:type="spellEnd"/>
      <w:r w:rsidRPr="00183207">
        <w:rPr>
          <w:spacing w:val="4"/>
          <w:sz w:val="20"/>
          <w:szCs w:val="20"/>
          <w:lang w:val="en-US"/>
        </w:rPr>
        <w:t>, J.</w:t>
      </w:r>
      <w:r w:rsidR="001C192D" w:rsidRPr="00183207">
        <w:rPr>
          <w:spacing w:val="4"/>
          <w:sz w:val="20"/>
          <w:szCs w:val="20"/>
          <w:lang w:val="en-US"/>
        </w:rPr>
        <w:t xml:space="preserve"> </w:t>
      </w:r>
      <w:r w:rsidRPr="00183207">
        <w:rPr>
          <w:spacing w:val="4"/>
          <w:sz w:val="20"/>
          <w:szCs w:val="20"/>
          <w:lang w:val="en-US"/>
        </w:rPr>
        <w:t>H., McCrae, R.</w:t>
      </w:r>
      <w:r w:rsidR="001C192D" w:rsidRPr="00183207">
        <w:rPr>
          <w:spacing w:val="4"/>
          <w:sz w:val="20"/>
          <w:szCs w:val="20"/>
          <w:lang w:val="en-US"/>
        </w:rPr>
        <w:t xml:space="preserve"> </w:t>
      </w:r>
      <w:r w:rsidRPr="00183207">
        <w:rPr>
          <w:spacing w:val="4"/>
          <w:sz w:val="20"/>
          <w:szCs w:val="20"/>
          <w:lang w:val="en-US"/>
        </w:rPr>
        <w:t xml:space="preserve">R., &amp; </w:t>
      </w:r>
      <w:proofErr w:type="spellStart"/>
      <w:r w:rsidRPr="00183207">
        <w:rPr>
          <w:spacing w:val="4"/>
          <w:sz w:val="20"/>
          <w:szCs w:val="20"/>
          <w:lang w:val="en-US"/>
        </w:rPr>
        <w:t>Siegler</w:t>
      </w:r>
      <w:proofErr w:type="spellEnd"/>
      <w:r w:rsidRPr="00183207">
        <w:rPr>
          <w:spacing w:val="4"/>
          <w:sz w:val="20"/>
          <w:szCs w:val="20"/>
          <w:lang w:val="en-US"/>
        </w:rPr>
        <w:t>, I.</w:t>
      </w:r>
      <w:r w:rsidR="001C192D" w:rsidRPr="00183207">
        <w:rPr>
          <w:spacing w:val="4"/>
          <w:sz w:val="20"/>
          <w:szCs w:val="20"/>
          <w:lang w:val="en-US"/>
        </w:rPr>
        <w:t xml:space="preserve"> </w:t>
      </w:r>
      <w:r w:rsidRPr="00183207">
        <w:rPr>
          <w:spacing w:val="4"/>
          <w:sz w:val="20"/>
          <w:szCs w:val="20"/>
          <w:lang w:val="en-US"/>
        </w:rPr>
        <w:t>C. (2000).</w:t>
      </w:r>
      <w:proofErr w:type="gramEnd"/>
      <w:r w:rsidRPr="00183207">
        <w:rPr>
          <w:spacing w:val="4"/>
          <w:sz w:val="20"/>
          <w:szCs w:val="20"/>
          <w:lang w:val="en-US"/>
        </w:rPr>
        <w:t xml:space="preserve"> Personality at midlife: stability, intrinsic </w:t>
      </w:r>
      <w:r w:rsidRPr="00183207">
        <w:rPr>
          <w:spacing w:val="1"/>
          <w:sz w:val="20"/>
          <w:szCs w:val="20"/>
          <w:lang w:val="en-US"/>
        </w:rPr>
        <w:t xml:space="preserve">maturation, and response to life events. </w:t>
      </w:r>
      <w:r w:rsidRPr="00183207">
        <w:rPr>
          <w:i/>
          <w:iCs/>
          <w:spacing w:val="1"/>
          <w:sz w:val="20"/>
          <w:szCs w:val="20"/>
          <w:lang w:val="en-US"/>
        </w:rPr>
        <w:t>Assessment, 7(</w:t>
      </w:r>
      <w:r w:rsidR="006E7C88" w:rsidRPr="00183207">
        <w:rPr>
          <w:i/>
          <w:iCs/>
          <w:spacing w:val="1"/>
          <w:sz w:val="20"/>
          <w:szCs w:val="20"/>
          <w:lang w:val="en-US"/>
        </w:rPr>
        <w:t>4</w:t>
      </w:r>
      <w:r w:rsidRPr="00183207">
        <w:rPr>
          <w:i/>
          <w:iCs/>
          <w:spacing w:val="1"/>
          <w:sz w:val="20"/>
          <w:szCs w:val="20"/>
          <w:lang w:val="en-US"/>
        </w:rPr>
        <w:t>)</w:t>
      </w:r>
      <w:r w:rsidRPr="00183207">
        <w:rPr>
          <w:spacing w:val="1"/>
          <w:sz w:val="20"/>
          <w:szCs w:val="20"/>
          <w:lang w:val="en-US"/>
        </w:rPr>
        <w:t>, 365-378.</w:t>
      </w:r>
      <w:r w:rsidR="006E7C88" w:rsidRPr="00183207">
        <w:rPr>
          <w:b/>
          <w:bCs/>
          <w:color w:val="333300"/>
          <w:sz w:val="20"/>
          <w:szCs w:val="20"/>
        </w:rPr>
        <w:t xml:space="preserve"> </w:t>
      </w:r>
      <w:proofErr w:type="gramStart"/>
      <w:r w:rsidR="006E7C88" w:rsidRPr="00183207">
        <w:rPr>
          <w:sz w:val="20"/>
          <w:szCs w:val="20"/>
          <w:lang w:val="en-US"/>
        </w:rPr>
        <w:t>doi:</w:t>
      </w:r>
      <w:proofErr w:type="gramEnd"/>
      <w:r w:rsidR="006E7C88" w:rsidRPr="00183207">
        <w:rPr>
          <w:sz w:val="20"/>
          <w:szCs w:val="20"/>
          <w:lang w:val="en-US"/>
        </w:rPr>
        <w:t>10.1177/107319110000700405</w:t>
      </w:r>
    </w:p>
    <w:p w:rsidR="005061DD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Costa, P.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T. Jr., </w:t>
      </w:r>
      <w:proofErr w:type="spellStart"/>
      <w:r w:rsidRPr="00183207">
        <w:rPr>
          <w:sz w:val="20"/>
          <w:szCs w:val="20"/>
          <w:lang w:val="en-US"/>
        </w:rPr>
        <w:t>Terracciano</w:t>
      </w:r>
      <w:proofErr w:type="spellEnd"/>
      <w:r w:rsidRPr="00183207">
        <w:rPr>
          <w:sz w:val="20"/>
          <w:szCs w:val="20"/>
          <w:lang w:val="en-US"/>
        </w:rPr>
        <w:t>, A.</w:t>
      </w:r>
      <w:r w:rsidR="00074EFD" w:rsidRPr="00183207">
        <w:rPr>
          <w:sz w:val="20"/>
          <w:szCs w:val="20"/>
          <w:lang w:val="en-US"/>
        </w:rPr>
        <w:t>,</w:t>
      </w:r>
      <w:r w:rsidRPr="00183207">
        <w:rPr>
          <w:sz w:val="20"/>
          <w:szCs w:val="20"/>
          <w:lang w:val="en-US"/>
        </w:rPr>
        <w:t xml:space="preserve"> &amp; McCrae, R.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R. (2001).</w:t>
      </w:r>
      <w:proofErr w:type="gramEnd"/>
      <w:r w:rsidRPr="00183207">
        <w:rPr>
          <w:sz w:val="20"/>
          <w:szCs w:val="20"/>
          <w:lang w:val="en-US"/>
        </w:rPr>
        <w:t xml:space="preserve"> Gender Differences in Personality Traits </w:t>
      </w:r>
      <w:proofErr w:type="gramStart"/>
      <w:r w:rsidRPr="00183207">
        <w:rPr>
          <w:sz w:val="20"/>
          <w:szCs w:val="20"/>
          <w:lang w:val="en-US"/>
        </w:rPr>
        <w:t>Across</w:t>
      </w:r>
      <w:proofErr w:type="gramEnd"/>
      <w:r w:rsidRPr="00183207">
        <w:rPr>
          <w:sz w:val="20"/>
          <w:szCs w:val="20"/>
          <w:lang w:val="en-US"/>
        </w:rPr>
        <w:t xml:space="preserve"> Cultures: Robust and Surprising Findings. </w:t>
      </w:r>
      <w:r w:rsidRPr="00183207">
        <w:rPr>
          <w:i/>
          <w:iCs/>
          <w:sz w:val="20"/>
          <w:szCs w:val="20"/>
          <w:lang w:val="en-US"/>
        </w:rPr>
        <w:t>Journal of Personality and Social Psychology, 81(2)</w:t>
      </w:r>
      <w:r w:rsidRPr="00183207">
        <w:rPr>
          <w:sz w:val="20"/>
          <w:szCs w:val="20"/>
          <w:lang w:val="en-US"/>
        </w:rPr>
        <w:t>, 322-331.</w:t>
      </w:r>
      <w:r w:rsidR="008F1D69" w:rsidRPr="00183207">
        <w:rPr>
          <w:sz w:val="20"/>
          <w:szCs w:val="20"/>
        </w:rPr>
        <w:t xml:space="preserve"> doi:10.1037/0022-3514.81.2.322</w:t>
      </w:r>
    </w:p>
    <w:p w:rsidR="005061DD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Eaves,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J.</w:t>
      </w:r>
      <w:r w:rsidR="001C192D" w:rsidRPr="00183207">
        <w:rPr>
          <w:sz w:val="20"/>
          <w:szCs w:val="20"/>
          <w:lang w:val="en-US"/>
        </w:rPr>
        <w:t>,</w:t>
      </w:r>
      <w:r w:rsidRPr="00183207">
        <w:rPr>
          <w:sz w:val="20"/>
          <w:szCs w:val="20"/>
          <w:lang w:val="en-US"/>
        </w:rPr>
        <w:t xml:space="preserve"> &amp; </w:t>
      </w:r>
      <w:proofErr w:type="spell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H.</w:t>
      </w:r>
      <w:r w:rsidR="001C192D" w:rsidRPr="00183207">
        <w:rPr>
          <w:sz w:val="20"/>
          <w:szCs w:val="20"/>
          <w:lang w:val="en-US"/>
        </w:rPr>
        <w:t xml:space="preserve"> </w:t>
      </w:r>
      <w:r w:rsidR="005061DD" w:rsidRPr="00183207">
        <w:rPr>
          <w:sz w:val="20"/>
          <w:szCs w:val="20"/>
          <w:lang w:val="en-US"/>
        </w:rPr>
        <w:t>J. (1975).</w:t>
      </w:r>
      <w:proofErr w:type="gramEnd"/>
      <w:r w:rsidR="005061DD" w:rsidRPr="00183207">
        <w:rPr>
          <w:sz w:val="20"/>
          <w:szCs w:val="20"/>
          <w:lang w:val="en-US"/>
        </w:rPr>
        <w:t xml:space="preserve"> The nature of extraversion: A </w:t>
      </w:r>
      <w:proofErr w:type="spellStart"/>
      <w:r w:rsidR="005061DD" w:rsidRPr="00183207">
        <w:rPr>
          <w:sz w:val="20"/>
          <w:szCs w:val="20"/>
          <w:lang w:val="en-US"/>
        </w:rPr>
        <w:t>genetical</w:t>
      </w:r>
      <w:proofErr w:type="spellEnd"/>
      <w:r w:rsidR="005061DD" w:rsidRPr="00183207">
        <w:rPr>
          <w:sz w:val="20"/>
          <w:szCs w:val="20"/>
          <w:lang w:val="en-US"/>
        </w:rPr>
        <w:t xml:space="preserve"> analysis. </w:t>
      </w:r>
      <w:r w:rsidR="005061DD" w:rsidRPr="00183207">
        <w:rPr>
          <w:i/>
          <w:iCs/>
          <w:sz w:val="20"/>
          <w:szCs w:val="20"/>
          <w:lang w:val="en-US"/>
        </w:rPr>
        <w:t>Journal of Personality and Social Psychology, 32(1)</w:t>
      </w:r>
      <w:r w:rsidR="005061DD" w:rsidRPr="00183207">
        <w:rPr>
          <w:sz w:val="20"/>
          <w:szCs w:val="20"/>
          <w:lang w:val="en-US"/>
        </w:rPr>
        <w:t>, 102-112.</w:t>
      </w:r>
      <w:r w:rsidR="00045DA8" w:rsidRPr="00183207">
        <w:rPr>
          <w:sz w:val="20"/>
          <w:szCs w:val="20"/>
          <w:lang w:val="en-US"/>
        </w:rPr>
        <w:t xml:space="preserve"> </w:t>
      </w:r>
      <w:r w:rsidR="00045DA8" w:rsidRPr="00183207">
        <w:rPr>
          <w:sz w:val="20"/>
          <w:szCs w:val="20"/>
        </w:rPr>
        <w:t>doi:10.1037/h0076862</w:t>
      </w:r>
    </w:p>
    <w:p w:rsidR="0077466E" w:rsidRPr="00183207" w:rsidRDefault="00074EFD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  <w:proofErr w:type="spell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>, H.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="0077466E" w:rsidRPr="00183207">
        <w:rPr>
          <w:sz w:val="20"/>
          <w:szCs w:val="20"/>
          <w:lang w:val="en-US" w:eastAsia="en-US"/>
        </w:rPr>
        <w:t xml:space="preserve">J. (1990). Genetic and environmental contributions to individual differences: The three major dimensions of personality. </w:t>
      </w:r>
      <w:r w:rsidR="0077466E" w:rsidRPr="00183207">
        <w:rPr>
          <w:i/>
          <w:iCs/>
          <w:sz w:val="20"/>
          <w:szCs w:val="20"/>
          <w:lang w:val="en-US" w:eastAsia="en-US"/>
        </w:rPr>
        <w:t>Journal of Personality, 58</w:t>
      </w:r>
      <w:r w:rsidR="00C330E4" w:rsidRPr="00183207">
        <w:rPr>
          <w:i/>
          <w:iCs/>
          <w:sz w:val="20"/>
          <w:szCs w:val="20"/>
          <w:lang w:val="en-US" w:eastAsia="en-US"/>
        </w:rPr>
        <w:t>(1)</w:t>
      </w:r>
      <w:r w:rsidR="0077466E" w:rsidRPr="00183207">
        <w:rPr>
          <w:sz w:val="20"/>
          <w:szCs w:val="20"/>
          <w:lang w:val="en-US" w:eastAsia="en-US"/>
        </w:rPr>
        <w:t>, 245–261.</w:t>
      </w:r>
      <w:r w:rsidR="00C330E4" w:rsidRPr="00183207">
        <w:rPr>
          <w:sz w:val="20"/>
          <w:szCs w:val="20"/>
        </w:rPr>
        <w:t xml:space="preserve"> doi:10.1111/j.1467-6494.1990.tb00915.x</w:t>
      </w:r>
    </w:p>
    <w:p w:rsidR="003017B5" w:rsidRPr="00183207" w:rsidRDefault="00074EFD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  <w:proofErr w:type="spellStart"/>
      <w:proofErr w:type="gram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>, H.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="003017B5" w:rsidRPr="00183207">
        <w:rPr>
          <w:sz w:val="20"/>
          <w:szCs w:val="20"/>
          <w:lang w:val="en-US" w:eastAsia="en-US"/>
        </w:rPr>
        <w:t>J., Barrett, P., Wilson, G., &amp; Jackson, C. (1992).</w:t>
      </w:r>
      <w:proofErr w:type="gramEnd"/>
      <w:r w:rsidR="003017B5" w:rsidRPr="00183207">
        <w:rPr>
          <w:sz w:val="20"/>
          <w:szCs w:val="20"/>
          <w:lang w:val="en-US" w:eastAsia="en-US"/>
        </w:rPr>
        <w:t xml:space="preserve"> </w:t>
      </w:r>
      <w:proofErr w:type="gramStart"/>
      <w:r w:rsidR="003017B5" w:rsidRPr="00183207">
        <w:rPr>
          <w:sz w:val="20"/>
          <w:szCs w:val="20"/>
          <w:lang w:val="en-US" w:eastAsia="en-US"/>
        </w:rPr>
        <w:t>Primary trait measurement of the 21 components of the PEN system.</w:t>
      </w:r>
      <w:proofErr w:type="gramEnd"/>
      <w:r w:rsidR="003017B5" w:rsidRPr="00183207">
        <w:rPr>
          <w:sz w:val="20"/>
          <w:szCs w:val="20"/>
          <w:lang w:val="en-US" w:eastAsia="en-US"/>
        </w:rPr>
        <w:t xml:space="preserve"> </w:t>
      </w:r>
      <w:r w:rsidR="003017B5" w:rsidRPr="00183207">
        <w:rPr>
          <w:i/>
          <w:iCs/>
          <w:sz w:val="20"/>
          <w:szCs w:val="20"/>
          <w:lang w:val="en-US" w:eastAsia="en-US"/>
        </w:rPr>
        <w:t>European Journal of Psychological Assessment, 8,</w:t>
      </w:r>
      <w:r w:rsidR="003017B5" w:rsidRPr="00183207">
        <w:rPr>
          <w:sz w:val="20"/>
          <w:szCs w:val="20"/>
          <w:lang w:val="en-US" w:eastAsia="en-US"/>
        </w:rPr>
        <w:t xml:space="preserve"> 109–117.</w:t>
      </w:r>
    </w:p>
    <w:p w:rsidR="008E10CF" w:rsidRPr="00183207" w:rsidRDefault="00074EFD" w:rsidP="00183207">
      <w:pPr>
        <w:jc w:val="both"/>
        <w:rPr>
          <w:sz w:val="20"/>
          <w:szCs w:val="20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H.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J</w:t>
      </w:r>
      <w:r w:rsidR="001C192D" w:rsidRPr="00183207">
        <w:rPr>
          <w:sz w:val="20"/>
          <w:szCs w:val="20"/>
          <w:lang w:val="en-US"/>
        </w:rPr>
        <w:t>.,</w:t>
      </w:r>
      <w:r w:rsidRPr="00183207">
        <w:rPr>
          <w:sz w:val="20"/>
          <w:szCs w:val="20"/>
          <w:lang w:val="en-US"/>
        </w:rPr>
        <w:t xml:space="preserve"> &amp; </w:t>
      </w:r>
      <w:proofErr w:type="spell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S.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B.</w:t>
      </w:r>
      <w:r w:rsidR="001C192D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>G</w:t>
      </w:r>
      <w:r w:rsidR="00E75192" w:rsidRPr="00183207">
        <w:rPr>
          <w:sz w:val="20"/>
          <w:szCs w:val="20"/>
          <w:lang w:val="en-US"/>
        </w:rPr>
        <w:t>.</w:t>
      </w:r>
      <w:r w:rsidR="009A4CE9" w:rsidRPr="00183207">
        <w:rPr>
          <w:sz w:val="20"/>
          <w:szCs w:val="20"/>
          <w:lang w:val="en-US"/>
        </w:rPr>
        <w:t xml:space="preserve"> (1975).</w:t>
      </w:r>
      <w:proofErr w:type="gramEnd"/>
      <w:r w:rsidR="009A4CE9" w:rsidRPr="00183207">
        <w:rPr>
          <w:sz w:val="20"/>
          <w:szCs w:val="20"/>
          <w:lang w:val="en-GB"/>
        </w:rPr>
        <w:t xml:space="preserve"> </w:t>
      </w:r>
      <w:r w:rsidR="009A4CE9" w:rsidRPr="00183207">
        <w:rPr>
          <w:i/>
          <w:iCs/>
          <w:sz w:val="20"/>
          <w:szCs w:val="20"/>
        </w:rPr>
        <w:t>Manual of the Eysenck Personality Questionnaire (Junior &amp; Adult)</w:t>
      </w:r>
      <w:r w:rsidR="009A4CE9" w:rsidRPr="00183207">
        <w:rPr>
          <w:sz w:val="20"/>
          <w:szCs w:val="20"/>
        </w:rPr>
        <w:t xml:space="preserve">. </w:t>
      </w:r>
      <w:r w:rsidR="009A4CE9" w:rsidRPr="00183207">
        <w:rPr>
          <w:sz w:val="20"/>
          <w:szCs w:val="20"/>
          <w:lang w:val="en-US"/>
        </w:rPr>
        <w:t xml:space="preserve">London: </w:t>
      </w:r>
      <w:r w:rsidR="009A4CE9" w:rsidRPr="00183207">
        <w:rPr>
          <w:sz w:val="20"/>
          <w:szCs w:val="20"/>
        </w:rPr>
        <w:t>Hodder and Stoughton.</w:t>
      </w:r>
    </w:p>
    <w:p w:rsidR="008E10CF" w:rsidRPr="00183207" w:rsidRDefault="008E10CF" w:rsidP="00183207">
      <w:pPr>
        <w:jc w:val="both"/>
        <w:rPr>
          <w:sz w:val="20"/>
          <w:szCs w:val="20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 xml:space="preserve">, H. J., &amp; </w:t>
      </w:r>
      <w:proofErr w:type="spell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M.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W. (1985).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i/>
          <w:sz w:val="20"/>
          <w:szCs w:val="20"/>
          <w:lang w:val="en-US"/>
        </w:rPr>
        <w:t>Personality and Individual Differences</w:t>
      </w:r>
      <w:r w:rsidRPr="00183207">
        <w:rPr>
          <w:sz w:val="20"/>
          <w:szCs w:val="20"/>
          <w:lang w:val="en-US"/>
        </w:rPr>
        <w:t>.</w:t>
      </w:r>
      <w:proofErr w:type="gramEnd"/>
      <w:r w:rsidRPr="00183207">
        <w:rPr>
          <w:sz w:val="20"/>
          <w:szCs w:val="20"/>
          <w:lang w:val="en-US"/>
        </w:rPr>
        <w:t xml:space="preserve"> New York: Plenum.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H.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J., &amp; </w:t>
      </w:r>
      <w:proofErr w:type="spellStart"/>
      <w:r w:rsidRPr="00183207">
        <w:rPr>
          <w:sz w:val="20"/>
          <w:szCs w:val="20"/>
          <w:lang w:val="en-US"/>
        </w:rPr>
        <w:t>Eysenck</w:t>
      </w:r>
      <w:proofErr w:type="spellEnd"/>
      <w:r w:rsidRPr="00183207">
        <w:rPr>
          <w:sz w:val="20"/>
          <w:szCs w:val="20"/>
          <w:lang w:val="en-US"/>
        </w:rPr>
        <w:t>, S.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B.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G. (1991).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i/>
          <w:iCs/>
          <w:sz w:val="20"/>
          <w:szCs w:val="20"/>
          <w:lang w:val="en-US"/>
        </w:rPr>
        <w:t>Manual of the Eysenck Personality Scales</w:t>
      </w:r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>(EPS Adult).</w:t>
      </w:r>
      <w:proofErr w:type="gramEnd"/>
      <w:r w:rsidRPr="00183207">
        <w:rPr>
          <w:sz w:val="20"/>
          <w:szCs w:val="20"/>
          <w:lang w:val="en-US"/>
        </w:rPr>
        <w:t xml:space="preserve"> London: Hodder and Stoughton.</w:t>
      </w:r>
    </w:p>
    <w:p w:rsidR="009A4CE9" w:rsidRPr="00183207" w:rsidRDefault="009A4CE9" w:rsidP="00183207">
      <w:pPr>
        <w:jc w:val="both"/>
        <w:rPr>
          <w:color w:val="FF0000"/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Farmer, A., Redman, K., Harris, T., Mahmood, A., Sadler, S., Pickering, A.</w:t>
      </w:r>
      <w:r w:rsidR="00074EFD" w:rsidRPr="00183207">
        <w:rPr>
          <w:sz w:val="20"/>
          <w:szCs w:val="20"/>
          <w:lang w:val="en-US"/>
        </w:rPr>
        <w:t>,</w:t>
      </w:r>
      <w:r w:rsidRPr="00183207">
        <w:rPr>
          <w:sz w:val="20"/>
          <w:szCs w:val="20"/>
          <w:lang w:val="en-US"/>
        </w:rPr>
        <w:t xml:space="preserve"> &amp; McGuffin, P. (2002).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Neuroticism, extraversion, life events and depression.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The Cardiff Depression Study.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>The British Journal of Psychiatry, 181,</w:t>
      </w:r>
      <w:r w:rsidRPr="00183207">
        <w:rPr>
          <w:sz w:val="20"/>
          <w:szCs w:val="20"/>
          <w:lang w:val="en-US"/>
        </w:rPr>
        <w:t xml:space="preserve"> 118-122.</w:t>
      </w:r>
      <w:r w:rsidR="00340C10" w:rsidRPr="00183207">
        <w:rPr>
          <w:color w:val="000000"/>
          <w:sz w:val="20"/>
          <w:szCs w:val="20"/>
          <w:lang w:val="en-US"/>
        </w:rPr>
        <w:t xml:space="preserve"> </w:t>
      </w:r>
      <w:r w:rsidR="00340C10" w:rsidRPr="00183207">
        <w:rPr>
          <w:sz w:val="20"/>
          <w:szCs w:val="20"/>
          <w:lang w:val="en-US"/>
        </w:rPr>
        <w:t>doi:10.1192/bjp.181.2.118</w:t>
      </w:r>
    </w:p>
    <w:p w:rsidR="0077466E" w:rsidRPr="00183207" w:rsidRDefault="0077466E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  <w:proofErr w:type="gramStart"/>
      <w:r w:rsidRPr="00183207">
        <w:rPr>
          <w:sz w:val="20"/>
          <w:szCs w:val="20"/>
          <w:lang w:val="en-US" w:eastAsia="en-US"/>
        </w:rPr>
        <w:t>Francis, L.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>J., &amp; Jackson, C.</w:t>
      </w:r>
      <w:r w:rsidR="001C192D"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sz w:val="20"/>
          <w:szCs w:val="20"/>
          <w:lang w:val="en-US" w:eastAsia="en-US"/>
        </w:rPr>
        <w:t>J. (2004).</w:t>
      </w:r>
      <w:proofErr w:type="gramEnd"/>
      <w:r w:rsidRPr="00183207">
        <w:rPr>
          <w:sz w:val="20"/>
          <w:szCs w:val="20"/>
          <w:lang w:val="en-US" w:eastAsia="en-US"/>
        </w:rPr>
        <w:t xml:space="preserve"> Which version of the </w:t>
      </w:r>
      <w:proofErr w:type="spellStart"/>
      <w:r w:rsidRPr="00183207">
        <w:rPr>
          <w:sz w:val="20"/>
          <w:szCs w:val="20"/>
          <w:lang w:val="en-US" w:eastAsia="en-US"/>
        </w:rPr>
        <w:t>Eysenck</w:t>
      </w:r>
      <w:proofErr w:type="spellEnd"/>
      <w:r w:rsidRPr="00183207">
        <w:rPr>
          <w:sz w:val="20"/>
          <w:szCs w:val="20"/>
          <w:lang w:val="en-US" w:eastAsia="en-US"/>
        </w:rPr>
        <w:t xml:space="preserve"> Personality Profiler is best? </w:t>
      </w:r>
      <w:proofErr w:type="gramStart"/>
      <w:r w:rsidRPr="00183207">
        <w:rPr>
          <w:sz w:val="20"/>
          <w:szCs w:val="20"/>
          <w:lang w:val="en-US" w:eastAsia="en-US"/>
        </w:rPr>
        <w:t>6-, 12- or 20-items per scale.</w:t>
      </w:r>
      <w:proofErr w:type="gramEnd"/>
      <w:r w:rsidRPr="00183207">
        <w:rPr>
          <w:sz w:val="20"/>
          <w:szCs w:val="20"/>
          <w:lang w:val="en-US" w:eastAsia="en-US"/>
        </w:rPr>
        <w:t xml:space="preserve"> </w:t>
      </w:r>
      <w:r w:rsidRPr="00183207">
        <w:rPr>
          <w:i/>
          <w:iCs/>
          <w:sz w:val="20"/>
          <w:szCs w:val="20"/>
          <w:lang w:val="en-US" w:eastAsia="en-US"/>
        </w:rPr>
        <w:t>Personality and Individual Differences, 37</w:t>
      </w:r>
      <w:r w:rsidR="00EE0F3B" w:rsidRPr="00183207">
        <w:rPr>
          <w:i/>
          <w:iCs/>
          <w:sz w:val="20"/>
          <w:szCs w:val="20"/>
          <w:lang w:val="en-US" w:eastAsia="en-US"/>
        </w:rPr>
        <w:t>(8)</w:t>
      </w:r>
      <w:r w:rsidRPr="00183207">
        <w:rPr>
          <w:i/>
          <w:iCs/>
          <w:sz w:val="20"/>
          <w:szCs w:val="20"/>
          <w:lang w:val="en-US" w:eastAsia="en-US"/>
        </w:rPr>
        <w:t xml:space="preserve">, </w:t>
      </w:r>
      <w:r w:rsidRPr="00183207">
        <w:rPr>
          <w:sz w:val="20"/>
          <w:szCs w:val="20"/>
          <w:lang w:val="en-US" w:eastAsia="en-US"/>
        </w:rPr>
        <w:t>1659–1666.</w:t>
      </w:r>
      <w:r w:rsidR="00EE0F3B" w:rsidRPr="00183207">
        <w:rPr>
          <w:sz w:val="20"/>
          <w:szCs w:val="20"/>
        </w:rPr>
        <w:t xml:space="preserve"> doi:10.1016/j.paid.2004.03.001</w:t>
      </w:r>
    </w:p>
    <w:p w:rsidR="005061DD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r w:rsidRPr="00183207">
        <w:rPr>
          <w:sz w:val="20"/>
          <w:szCs w:val="20"/>
          <w:lang w:val="en-US"/>
        </w:rPr>
        <w:t>Furnham</w:t>
      </w:r>
      <w:proofErr w:type="spellEnd"/>
      <w:r w:rsidRPr="00183207">
        <w:rPr>
          <w:sz w:val="20"/>
          <w:szCs w:val="20"/>
          <w:lang w:val="en-US"/>
        </w:rPr>
        <w:t xml:space="preserve">, A. (1990). </w:t>
      </w:r>
      <w:proofErr w:type="gramStart"/>
      <w:r w:rsidRPr="00183207">
        <w:rPr>
          <w:sz w:val="20"/>
          <w:szCs w:val="20"/>
          <w:lang w:val="en-US"/>
        </w:rPr>
        <w:t xml:space="preserve">The </w:t>
      </w:r>
      <w:proofErr w:type="spellStart"/>
      <w:r w:rsidRPr="00183207">
        <w:rPr>
          <w:sz w:val="20"/>
          <w:szCs w:val="20"/>
          <w:lang w:val="en-US"/>
        </w:rPr>
        <w:t>fak</w:t>
      </w:r>
      <w:r w:rsidR="0084349A" w:rsidRPr="00183207">
        <w:rPr>
          <w:sz w:val="20"/>
          <w:szCs w:val="20"/>
          <w:lang w:val="en-US"/>
        </w:rPr>
        <w:t>e</w:t>
      </w:r>
      <w:r w:rsidRPr="00183207">
        <w:rPr>
          <w:sz w:val="20"/>
          <w:szCs w:val="20"/>
          <w:lang w:val="en-US"/>
        </w:rPr>
        <w:t>ability</w:t>
      </w:r>
      <w:proofErr w:type="spellEnd"/>
      <w:r w:rsidRPr="00183207">
        <w:rPr>
          <w:sz w:val="20"/>
          <w:szCs w:val="20"/>
          <w:lang w:val="en-US"/>
        </w:rPr>
        <w:t xml:space="preserve"> of the 16PF, MBTI and F</w:t>
      </w:r>
      <w:r w:rsidR="0084349A" w:rsidRPr="00183207">
        <w:rPr>
          <w:sz w:val="20"/>
          <w:szCs w:val="20"/>
          <w:lang w:val="en-US"/>
        </w:rPr>
        <w:t>IRO</w:t>
      </w:r>
      <w:r w:rsidRPr="00183207">
        <w:rPr>
          <w:sz w:val="20"/>
          <w:szCs w:val="20"/>
          <w:lang w:val="en-US"/>
        </w:rPr>
        <w:t>-B personality measures.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sz w:val="20"/>
          <w:szCs w:val="20"/>
          <w:lang w:val="en-US"/>
        </w:rPr>
        <w:t>Personality and Individual Differences</w:t>
      </w:r>
      <w:r w:rsidRPr="00183207">
        <w:rPr>
          <w:sz w:val="20"/>
          <w:szCs w:val="20"/>
          <w:lang w:val="en-US"/>
        </w:rPr>
        <w:t xml:space="preserve">, </w:t>
      </w:r>
      <w:r w:rsidRPr="00183207">
        <w:rPr>
          <w:i/>
          <w:iCs/>
          <w:sz w:val="20"/>
          <w:szCs w:val="20"/>
          <w:lang w:val="en-US"/>
        </w:rPr>
        <w:t>11</w:t>
      </w:r>
      <w:r w:rsidR="0084349A" w:rsidRPr="00183207">
        <w:rPr>
          <w:i/>
          <w:iCs/>
          <w:sz w:val="20"/>
          <w:szCs w:val="20"/>
          <w:lang w:val="en-US"/>
        </w:rPr>
        <w:t>(7)</w:t>
      </w:r>
      <w:r w:rsidRPr="00183207">
        <w:rPr>
          <w:sz w:val="20"/>
          <w:szCs w:val="20"/>
          <w:lang w:val="en-US"/>
        </w:rPr>
        <w:t>, 711-716.</w:t>
      </w:r>
      <w:r w:rsidR="0084349A" w:rsidRPr="00183207">
        <w:rPr>
          <w:sz w:val="20"/>
          <w:szCs w:val="20"/>
        </w:rPr>
        <w:t xml:space="preserve"> doi:10.1016/0191-8869(90)90256-Q</w:t>
      </w:r>
    </w:p>
    <w:p w:rsidR="007D0386" w:rsidRPr="00183207" w:rsidRDefault="00074EFD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Gibson,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K., </w:t>
      </w:r>
      <w:proofErr w:type="spellStart"/>
      <w:r w:rsidRPr="00183207">
        <w:rPr>
          <w:sz w:val="20"/>
          <w:szCs w:val="20"/>
          <w:lang w:val="en-US"/>
        </w:rPr>
        <w:t>McKelvie</w:t>
      </w:r>
      <w:proofErr w:type="spellEnd"/>
      <w:r w:rsidRPr="00183207">
        <w:rPr>
          <w:sz w:val="20"/>
          <w:szCs w:val="20"/>
          <w:lang w:val="en-US"/>
        </w:rPr>
        <w:t>, J.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S., &amp; </w:t>
      </w:r>
      <w:proofErr w:type="spellStart"/>
      <w:r w:rsidRPr="00183207">
        <w:rPr>
          <w:sz w:val="20"/>
          <w:szCs w:val="20"/>
          <w:lang w:val="en-US"/>
        </w:rPr>
        <w:t>DeMan</w:t>
      </w:r>
      <w:proofErr w:type="spellEnd"/>
      <w:r w:rsidRPr="00183207">
        <w:rPr>
          <w:sz w:val="20"/>
          <w:szCs w:val="20"/>
          <w:lang w:val="en-US"/>
        </w:rPr>
        <w:t>, F.</w:t>
      </w:r>
      <w:r w:rsidR="001C192D" w:rsidRPr="00183207">
        <w:rPr>
          <w:sz w:val="20"/>
          <w:szCs w:val="20"/>
          <w:lang w:val="en-US"/>
        </w:rPr>
        <w:t xml:space="preserve"> </w:t>
      </w:r>
      <w:r w:rsidR="0077466E" w:rsidRPr="00183207">
        <w:rPr>
          <w:sz w:val="20"/>
          <w:szCs w:val="20"/>
          <w:lang w:val="en-US"/>
        </w:rPr>
        <w:t xml:space="preserve">A. (2008). Personality and culture: A comparison of </w:t>
      </w:r>
      <w:proofErr w:type="spellStart"/>
      <w:r w:rsidR="0077466E" w:rsidRPr="00183207">
        <w:rPr>
          <w:sz w:val="20"/>
          <w:szCs w:val="20"/>
          <w:lang w:val="en-US"/>
        </w:rPr>
        <w:t>Francophones</w:t>
      </w:r>
      <w:proofErr w:type="spellEnd"/>
      <w:r w:rsidR="0077466E" w:rsidRPr="00183207">
        <w:rPr>
          <w:sz w:val="20"/>
          <w:szCs w:val="20"/>
          <w:lang w:val="en-US"/>
        </w:rPr>
        <w:t xml:space="preserve"> and Anglophones in Québec. </w:t>
      </w:r>
      <w:r w:rsidR="0077466E" w:rsidRPr="00183207">
        <w:rPr>
          <w:i/>
          <w:sz w:val="20"/>
          <w:szCs w:val="20"/>
          <w:lang w:val="en-US"/>
        </w:rPr>
        <w:t xml:space="preserve">The Journal of Social Psychology, </w:t>
      </w:r>
      <w:r w:rsidR="005061DD" w:rsidRPr="00183207">
        <w:rPr>
          <w:i/>
          <w:sz w:val="20"/>
          <w:szCs w:val="20"/>
          <w:lang w:val="en-US"/>
        </w:rPr>
        <w:t>148(2),</w:t>
      </w:r>
      <w:r w:rsidR="005061DD" w:rsidRPr="00183207">
        <w:rPr>
          <w:sz w:val="20"/>
          <w:szCs w:val="20"/>
          <w:lang w:val="en-US"/>
        </w:rPr>
        <w:t xml:space="preserve"> 133-165.</w:t>
      </w:r>
      <w:r w:rsidR="007B5222" w:rsidRPr="00183207">
        <w:rPr>
          <w:sz w:val="20"/>
          <w:szCs w:val="20"/>
        </w:rPr>
        <w:t xml:space="preserve"> doi:10.3200/SOCP.148.2.133-166</w:t>
      </w:r>
    </w:p>
    <w:p w:rsidR="007D0386" w:rsidRPr="00183207" w:rsidRDefault="007D0386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Harrington, R.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G.</w:t>
      </w:r>
      <w:r w:rsidR="00E75192" w:rsidRPr="00183207">
        <w:rPr>
          <w:sz w:val="20"/>
          <w:szCs w:val="20"/>
          <w:lang w:val="en-US"/>
        </w:rPr>
        <w:t>,</w:t>
      </w:r>
      <w:r w:rsidRPr="00183207">
        <w:rPr>
          <w:sz w:val="20"/>
          <w:szCs w:val="20"/>
          <w:lang w:val="en-US"/>
        </w:rPr>
        <w:t xml:space="preserve"> &amp; McDermott, D. (1993).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A model for the interpretation of personality assessments of individuals with visual impairments.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>Journal of Rehabilitation, 59</w:t>
      </w:r>
      <w:r w:rsidRPr="00183207">
        <w:rPr>
          <w:sz w:val="20"/>
          <w:szCs w:val="20"/>
          <w:lang w:val="en-US"/>
        </w:rPr>
        <w:t>, 24-29.</w:t>
      </w:r>
    </w:p>
    <w:p w:rsidR="009A4CE9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spellStart"/>
      <w:r w:rsidRPr="00183207">
        <w:rPr>
          <w:sz w:val="20"/>
          <w:szCs w:val="20"/>
          <w:lang w:val="en-US"/>
        </w:rPr>
        <w:t>Haymes</w:t>
      </w:r>
      <w:proofErr w:type="spellEnd"/>
      <w:r w:rsidRPr="00183207">
        <w:rPr>
          <w:sz w:val="20"/>
          <w:szCs w:val="20"/>
          <w:lang w:val="en-US"/>
        </w:rPr>
        <w:t>, S.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A., Guest, D.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J., </w:t>
      </w:r>
      <w:proofErr w:type="spellStart"/>
      <w:r w:rsidRPr="00183207">
        <w:rPr>
          <w:sz w:val="20"/>
          <w:szCs w:val="20"/>
          <w:lang w:val="en-US"/>
        </w:rPr>
        <w:t>Heyes</w:t>
      </w:r>
      <w:proofErr w:type="spellEnd"/>
      <w:r w:rsidRPr="00183207">
        <w:rPr>
          <w:sz w:val="20"/>
          <w:szCs w:val="20"/>
          <w:lang w:val="en-US"/>
        </w:rPr>
        <w:t>, A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.</w:t>
      </w:r>
      <w:proofErr w:type="gramStart"/>
      <w:r w:rsidR="009A4CE9" w:rsidRPr="00183207">
        <w:rPr>
          <w:sz w:val="20"/>
          <w:szCs w:val="20"/>
          <w:lang w:val="en-US"/>
        </w:rPr>
        <w:t>D.</w:t>
      </w:r>
      <w:r w:rsidRPr="00183207">
        <w:rPr>
          <w:sz w:val="20"/>
          <w:szCs w:val="20"/>
          <w:lang w:val="en-US"/>
        </w:rPr>
        <w:t>,</w:t>
      </w:r>
      <w:proofErr w:type="gramEnd"/>
      <w:r w:rsidRPr="00183207">
        <w:rPr>
          <w:sz w:val="20"/>
          <w:szCs w:val="20"/>
          <w:lang w:val="en-US"/>
        </w:rPr>
        <w:t xml:space="preserve"> &amp; Johnston, A.</w:t>
      </w:r>
      <w:r w:rsidR="001C192D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 xml:space="preserve">W. (1996). </w:t>
      </w:r>
      <w:proofErr w:type="gramStart"/>
      <w:r w:rsidR="009A4CE9" w:rsidRPr="00183207">
        <w:rPr>
          <w:sz w:val="20"/>
          <w:szCs w:val="20"/>
          <w:lang w:val="en-US"/>
        </w:rPr>
        <w:t>The Relationship of Vision and Psychological Variables to the Orientation and Mobility of Visually Impaired Persons.</w:t>
      </w:r>
      <w:proofErr w:type="gramEnd"/>
      <w:r w:rsidR="009A4CE9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i/>
          <w:iCs/>
          <w:sz w:val="20"/>
          <w:szCs w:val="20"/>
          <w:lang w:val="en-US"/>
        </w:rPr>
        <w:t xml:space="preserve">Journal of </w:t>
      </w:r>
      <w:r w:rsidR="009A4CE9" w:rsidRPr="00183207">
        <w:rPr>
          <w:rStyle w:val="hit"/>
          <w:i/>
          <w:iCs/>
          <w:sz w:val="20"/>
          <w:szCs w:val="20"/>
          <w:lang w:val="en-US"/>
        </w:rPr>
        <w:t>Visual</w:t>
      </w:r>
      <w:r w:rsidR="009A4CE9" w:rsidRPr="00183207">
        <w:rPr>
          <w:i/>
          <w:iCs/>
          <w:sz w:val="20"/>
          <w:szCs w:val="20"/>
          <w:lang w:val="en-US"/>
        </w:rPr>
        <w:t xml:space="preserve"> </w:t>
      </w:r>
      <w:r w:rsidR="009A4CE9" w:rsidRPr="00183207">
        <w:rPr>
          <w:rStyle w:val="hit"/>
          <w:i/>
          <w:iCs/>
          <w:sz w:val="20"/>
          <w:szCs w:val="20"/>
          <w:lang w:val="en-US"/>
        </w:rPr>
        <w:t>Impairment</w:t>
      </w:r>
      <w:r w:rsidR="009A4CE9" w:rsidRPr="00183207">
        <w:rPr>
          <w:i/>
          <w:iCs/>
          <w:sz w:val="20"/>
          <w:szCs w:val="20"/>
          <w:lang w:val="en-US"/>
        </w:rPr>
        <w:t xml:space="preserve"> &amp; Blindness</w:t>
      </w:r>
      <w:r w:rsidR="009A4CE9" w:rsidRPr="00183207">
        <w:rPr>
          <w:sz w:val="20"/>
          <w:szCs w:val="20"/>
          <w:lang w:val="en-US"/>
        </w:rPr>
        <w:t xml:space="preserve">, </w:t>
      </w:r>
      <w:r w:rsidR="009A4CE9" w:rsidRPr="00183207">
        <w:rPr>
          <w:i/>
          <w:iCs/>
          <w:sz w:val="20"/>
          <w:szCs w:val="20"/>
          <w:lang w:val="en-US"/>
        </w:rPr>
        <w:t>90</w:t>
      </w:r>
      <w:r w:rsidR="009A4CE9" w:rsidRPr="00183207">
        <w:rPr>
          <w:sz w:val="20"/>
          <w:szCs w:val="20"/>
          <w:lang w:val="en-US"/>
        </w:rPr>
        <w:t>, 314-324.</w:t>
      </w:r>
    </w:p>
    <w:p w:rsidR="00276A1C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Heath, A.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C., Eaves,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J., &amp; Martin, N.</w:t>
      </w:r>
      <w:r w:rsidR="001C192D" w:rsidRPr="00183207">
        <w:rPr>
          <w:sz w:val="20"/>
          <w:szCs w:val="20"/>
          <w:lang w:val="en-US"/>
        </w:rPr>
        <w:t xml:space="preserve"> </w:t>
      </w:r>
      <w:r w:rsidR="00276A1C" w:rsidRPr="00183207">
        <w:rPr>
          <w:sz w:val="20"/>
          <w:szCs w:val="20"/>
          <w:lang w:val="en-US"/>
        </w:rPr>
        <w:t>G. (1989).</w:t>
      </w:r>
      <w:proofErr w:type="gramEnd"/>
      <w:r w:rsidR="00276A1C" w:rsidRPr="00183207">
        <w:rPr>
          <w:sz w:val="20"/>
          <w:szCs w:val="20"/>
          <w:lang w:val="en-US"/>
        </w:rPr>
        <w:t xml:space="preserve"> The genetic structure of personality III: Multivariate genetic item analysis of the EPQ scales. </w:t>
      </w:r>
      <w:r w:rsidR="00276A1C" w:rsidRPr="00183207">
        <w:rPr>
          <w:bCs/>
          <w:i/>
          <w:iCs/>
          <w:sz w:val="20"/>
          <w:szCs w:val="20"/>
          <w:lang w:val="en-US" w:eastAsia="en-US"/>
        </w:rPr>
        <w:t>Personality and Individual Differences, 10(8)</w:t>
      </w:r>
      <w:r w:rsidR="00276A1C" w:rsidRPr="00183207">
        <w:rPr>
          <w:bCs/>
          <w:sz w:val="20"/>
          <w:szCs w:val="20"/>
          <w:lang w:val="en-US" w:eastAsia="en-US"/>
        </w:rPr>
        <w:t>, 877-888.</w:t>
      </w:r>
      <w:r w:rsidR="00A52A28" w:rsidRPr="00183207">
        <w:rPr>
          <w:sz w:val="20"/>
          <w:szCs w:val="20"/>
        </w:rPr>
        <w:t xml:space="preserve"> doi:10.1016/0191-8869(89)90023-8</w:t>
      </w:r>
    </w:p>
    <w:p w:rsidR="005061DD" w:rsidRPr="00183207" w:rsidRDefault="00074EFD" w:rsidP="00183207">
      <w:pPr>
        <w:jc w:val="both"/>
        <w:rPr>
          <w:bCs/>
          <w:sz w:val="20"/>
          <w:szCs w:val="20"/>
          <w:lang w:val="en-US" w:eastAsia="en-US"/>
        </w:rPr>
      </w:pPr>
      <w:proofErr w:type="gramStart"/>
      <w:r w:rsidRPr="00183207">
        <w:rPr>
          <w:sz w:val="20"/>
          <w:szCs w:val="20"/>
          <w:lang w:val="en-US"/>
        </w:rPr>
        <w:t>Heath, A.</w:t>
      </w:r>
      <w:r w:rsidR="001C192D" w:rsidRPr="00183207">
        <w:rPr>
          <w:sz w:val="20"/>
          <w:szCs w:val="20"/>
          <w:lang w:val="en-US"/>
        </w:rPr>
        <w:t xml:space="preserve"> </w:t>
      </w:r>
      <w:r w:rsidR="005061DD" w:rsidRPr="00183207">
        <w:rPr>
          <w:sz w:val="20"/>
          <w:szCs w:val="20"/>
          <w:lang w:val="en-US"/>
        </w:rPr>
        <w:t xml:space="preserve">C., </w:t>
      </w:r>
      <w:proofErr w:type="spellStart"/>
      <w:r w:rsidR="006B071A" w:rsidRPr="00183207">
        <w:rPr>
          <w:sz w:val="20"/>
          <w:szCs w:val="20"/>
          <w:lang w:val="en-US"/>
        </w:rPr>
        <w:t>Jardine</w:t>
      </w:r>
      <w:proofErr w:type="spellEnd"/>
      <w:r w:rsidR="006B071A" w:rsidRPr="00183207">
        <w:rPr>
          <w:sz w:val="20"/>
          <w:szCs w:val="20"/>
          <w:lang w:val="en-US"/>
        </w:rPr>
        <w:t>, R.</w:t>
      </w:r>
      <w:r w:rsidRPr="00183207">
        <w:rPr>
          <w:sz w:val="20"/>
          <w:szCs w:val="20"/>
          <w:lang w:val="en-US"/>
        </w:rPr>
        <w:t>, Eaves,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J., &amp; Martin, N.</w:t>
      </w:r>
      <w:r w:rsidR="001C192D" w:rsidRPr="00183207">
        <w:rPr>
          <w:sz w:val="20"/>
          <w:szCs w:val="20"/>
          <w:lang w:val="en-US"/>
        </w:rPr>
        <w:t xml:space="preserve"> </w:t>
      </w:r>
      <w:r w:rsidR="005061DD" w:rsidRPr="00183207">
        <w:rPr>
          <w:sz w:val="20"/>
          <w:szCs w:val="20"/>
          <w:lang w:val="en-US"/>
        </w:rPr>
        <w:t>G. (1988).</w:t>
      </w:r>
      <w:proofErr w:type="gramEnd"/>
      <w:r w:rsidR="005061DD" w:rsidRPr="00183207">
        <w:rPr>
          <w:sz w:val="20"/>
          <w:szCs w:val="20"/>
          <w:lang w:val="en-US"/>
        </w:rPr>
        <w:t xml:space="preserve"> </w:t>
      </w:r>
      <w:proofErr w:type="gramStart"/>
      <w:r w:rsidR="005061DD" w:rsidRPr="00183207">
        <w:rPr>
          <w:sz w:val="20"/>
          <w:szCs w:val="20"/>
          <w:lang w:val="en-US"/>
        </w:rPr>
        <w:t>The g</w:t>
      </w:r>
      <w:r w:rsidR="006B071A" w:rsidRPr="00183207">
        <w:rPr>
          <w:sz w:val="20"/>
          <w:szCs w:val="20"/>
          <w:lang w:val="en-US"/>
        </w:rPr>
        <w:t>e</w:t>
      </w:r>
      <w:r w:rsidR="00276A1C" w:rsidRPr="00183207">
        <w:rPr>
          <w:sz w:val="20"/>
          <w:szCs w:val="20"/>
          <w:lang w:val="en-US"/>
        </w:rPr>
        <w:t>netic structure of personality.</w:t>
      </w:r>
      <w:proofErr w:type="gramEnd"/>
      <w:r w:rsidR="005061DD" w:rsidRPr="00183207">
        <w:rPr>
          <w:sz w:val="20"/>
          <w:szCs w:val="20"/>
          <w:lang w:val="en-US"/>
        </w:rPr>
        <w:t xml:space="preserve"> I: Phenotypic factor structure of the EPQ in an Australian sample. </w:t>
      </w:r>
      <w:r w:rsidR="006B071A" w:rsidRPr="00183207">
        <w:rPr>
          <w:bCs/>
          <w:i/>
          <w:iCs/>
          <w:sz w:val="20"/>
          <w:szCs w:val="20"/>
          <w:lang w:val="en-US" w:eastAsia="en-US"/>
        </w:rPr>
        <w:t>Personality and Individual Differences, 9(1)</w:t>
      </w:r>
      <w:r w:rsidR="006B071A" w:rsidRPr="00183207">
        <w:rPr>
          <w:bCs/>
          <w:sz w:val="20"/>
          <w:szCs w:val="20"/>
          <w:lang w:val="en-US" w:eastAsia="en-US"/>
        </w:rPr>
        <w:t>, 59-67.</w:t>
      </w:r>
      <w:r w:rsidR="00F929F5" w:rsidRPr="00183207">
        <w:rPr>
          <w:sz w:val="20"/>
          <w:szCs w:val="20"/>
        </w:rPr>
        <w:t xml:space="preserve"> doi:10.1016/0191-8869(88)90030-X</w:t>
      </w:r>
    </w:p>
    <w:p w:rsidR="006B071A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lastRenderedPageBreak/>
        <w:t>Heath, A.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 xml:space="preserve">C., </w:t>
      </w:r>
      <w:proofErr w:type="spellStart"/>
      <w:r w:rsidRPr="00183207">
        <w:rPr>
          <w:sz w:val="20"/>
          <w:szCs w:val="20"/>
          <w:lang w:val="en-US"/>
        </w:rPr>
        <w:t>Jardine</w:t>
      </w:r>
      <w:proofErr w:type="spellEnd"/>
      <w:r w:rsidRPr="00183207">
        <w:rPr>
          <w:sz w:val="20"/>
          <w:szCs w:val="20"/>
          <w:lang w:val="en-US"/>
        </w:rPr>
        <w:t>, R., Eaves, L.</w:t>
      </w:r>
      <w:r w:rsidR="001C192D" w:rsidRPr="00183207">
        <w:rPr>
          <w:sz w:val="20"/>
          <w:szCs w:val="20"/>
          <w:lang w:val="en-US"/>
        </w:rPr>
        <w:t xml:space="preserve"> </w:t>
      </w:r>
      <w:r w:rsidRPr="00183207">
        <w:rPr>
          <w:sz w:val="20"/>
          <w:szCs w:val="20"/>
          <w:lang w:val="en-US"/>
        </w:rPr>
        <w:t>J., &amp; Martin, N.</w:t>
      </w:r>
      <w:r w:rsidR="001C192D" w:rsidRPr="00183207">
        <w:rPr>
          <w:sz w:val="20"/>
          <w:szCs w:val="20"/>
          <w:lang w:val="en-US"/>
        </w:rPr>
        <w:t xml:space="preserve"> </w:t>
      </w:r>
      <w:r w:rsidR="006B071A" w:rsidRPr="00183207">
        <w:rPr>
          <w:sz w:val="20"/>
          <w:szCs w:val="20"/>
          <w:lang w:val="en-US"/>
        </w:rPr>
        <w:t>G. (1989).</w:t>
      </w:r>
      <w:proofErr w:type="gramEnd"/>
      <w:r w:rsidR="006B071A" w:rsidRPr="00183207">
        <w:rPr>
          <w:sz w:val="20"/>
          <w:szCs w:val="20"/>
          <w:lang w:val="en-US"/>
        </w:rPr>
        <w:t xml:space="preserve"> The genetic structure of personality - II: Genetic item analysis of the EPQ. </w:t>
      </w:r>
      <w:r w:rsidR="006B071A" w:rsidRPr="00183207">
        <w:rPr>
          <w:bCs/>
          <w:i/>
          <w:iCs/>
          <w:sz w:val="20"/>
          <w:szCs w:val="20"/>
          <w:lang w:val="en-US" w:eastAsia="en-US"/>
        </w:rPr>
        <w:t>Personality and Individual Differences, 10(6)</w:t>
      </w:r>
      <w:r w:rsidR="006B071A" w:rsidRPr="00183207">
        <w:rPr>
          <w:bCs/>
          <w:sz w:val="20"/>
          <w:szCs w:val="20"/>
          <w:lang w:val="en-US" w:eastAsia="en-US"/>
        </w:rPr>
        <w:t>, 615-624.</w:t>
      </w:r>
      <w:r w:rsidR="000D7F40" w:rsidRPr="00183207">
        <w:rPr>
          <w:sz w:val="20"/>
          <w:szCs w:val="20"/>
        </w:rPr>
        <w:t xml:space="preserve"> doi:10.1016/0191-8869(89)90221-3</w:t>
      </w:r>
    </w:p>
    <w:p w:rsidR="009A4CE9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Johnson, D.</w:t>
      </w:r>
      <w:r w:rsidR="001C192D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>G. (1989).</w:t>
      </w:r>
      <w:proofErr w:type="gramEnd"/>
      <w:r w:rsidR="009A4CE9" w:rsidRPr="00183207">
        <w:rPr>
          <w:sz w:val="20"/>
          <w:szCs w:val="20"/>
          <w:lang w:val="en-US"/>
        </w:rPr>
        <w:t xml:space="preserve"> An unassisted method of psychological testing of visually impaired individuals. </w:t>
      </w:r>
      <w:r w:rsidR="009A4CE9" w:rsidRPr="00183207">
        <w:rPr>
          <w:i/>
          <w:iCs/>
          <w:sz w:val="20"/>
          <w:szCs w:val="20"/>
          <w:lang w:val="en-US"/>
        </w:rPr>
        <w:t xml:space="preserve">Journal of </w:t>
      </w:r>
      <w:r w:rsidR="009A4CE9" w:rsidRPr="00183207">
        <w:rPr>
          <w:rStyle w:val="hit"/>
          <w:i/>
          <w:iCs/>
          <w:sz w:val="20"/>
          <w:szCs w:val="20"/>
          <w:lang w:val="en-US"/>
        </w:rPr>
        <w:t>Visual</w:t>
      </w:r>
      <w:r w:rsidR="009A4CE9" w:rsidRPr="00183207">
        <w:rPr>
          <w:i/>
          <w:iCs/>
          <w:sz w:val="20"/>
          <w:szCs w:val="20"/>
          <w:lang w:val="en-US"/>
        </w:rPr>
        <w:t xml:space="preserve"> </w:t>
      </w:r>
      <w:r w:rsidR="009A4CE9" w:rsidRPr="00183207">
        <w:rPr>
          <w:rStyle w:val="hit"/>
          <w:i/>
          <w:iCs/>
          <w:sz w:val="20"/>
          <w:szCs w:val="20"/>
          <w:lang w:val="en-US"/>
        </w:rPr>
        <w:t>Impairment</w:t>
      </w:r>
      <w:r w:rsidR="009A4CE9" w:rsidRPr="00183207">
        <w:rPr>
          <w:i/>
          <w:iCs/>
          <w:sz w:val="20"/>
          <w:szCs w:val="20"/>
          <w:lang w:val="en-US"/>
        </w:rPr>
        <w:t xml:space="preserve"> &amp; Blindness</w:t>
      </w:r>
      <w:r w:rsidR="009A4CE9" w:rsidRPr="00183207">
        <w:rPr>
          <w:sz w:val="20"/>
          <w:szCs w:val="20"/>
          <w:lang w:val="en-US"/>
        </w:rPr>
        <w:t xml:space="preserve">, </w:t>
      </w:r>
      <w:r w:rsidR="009A4CE9" w:rsidRPr="00183207">
        <w:rPr>
          <w:i/>
          <w:iCs/>
          <w:sz w:val="20"/>
          <w:szCs w:val="20"/>
          <w:lang w:val="en-US"/>
        </w:rPr>
        <w:t>83</w:t>
      </w:r>
      <w:r w:rsidR="009A4CE9" w:rsidRPr="00183207">
        <w:rPr>
          <w:sz w:val="20"/>
          <w:szCs w:val="20"/>
          <w:lang w:val="en-US"/>
        </w:rPr>
        <w:t>, 114-118.</w:t>
      </w:r>
    </w:p>
    <w:p w:rsidR="0077466E" w:rsidRPr="00183207" w:rsidRDefault="0077466E" w:rsidP="00183207">
      <w:pPr>
        <w:autoSpaceDE w:val="0"/>
        <w:autoSpaceDN w:val="0"/>
        <w:adjustRightInd w:val="0"/>
        <w:jc w:val="both"/>
        <w:rPr>
          <w:sz w:val="20"/>
          <w:szCs w:val="20"/>
          <w:lang w:val="en-US" w:eastAsia="en-US"/>
        </w:rPr>
      </w:pPr>
      <w:r w:rsidRPr="00183207">
        <w:rPr>
          <w:sz w:val="20"/>
          <w:szCs w:val="20"/>
          <w:lang w:val="fr-FR" w:eastAsia="en-US"/>
        </w:rPr>
        <w:t>Katz, R.</w:t>
      </w:r>
      <w:r w:rsidR="00E75192" w:rsidRPr="00183207">
        <w:rPr>
          <w:sz w:val="20"/>
          <w:szCs w:val="20"/>
          <w:lang w:val="fr-FR" w:eastAsia="en-US"/>
        </w:rPr>
        <w:t>,</w:t>
      </w:r>
      <w:r w:rsidRPr="00183207">
        <w:rPr>
          <w:sz w:val="20"/>
          <w:szCs w:val="20"/>
          <w:lang w:val="fr-FR" w:eastAsia="en-US"/>
        </w:rPr>
        <w:t xml:space="preserve"> &amp; McGuffin, P. (1987)</w:t>
      </w:r>
      <w:r w:rsidR="00477037" w:rsidRPr="00183207">
        <w:rPr>
          <w:sz w:val="20"/>
          <w:szCs w:val="20"/>
          <w:lang w:val="fr-FR" w:eastAsia="en-US"/>
        </w:rPr>
        <w:t>.</w:t>
      </w:r>
      <w:r w:rsidRPr="00183207">
        <w:rPr>
          <w:sz w:val="20"/>
          <w:szCs w:val="20"/>
          <w:lang w:val="fr-FR" w:eastAsia="en-US"/>
        </w:rPr>
        <w:t xml:space="preserve"> </w:t>
      </w:r>
      <w:proofErr w:type="spellStart"/>
      <w:r w:rsidRPr="00183207">
        <w:rPr>
          <w:sz w:val="20"/>
          <w:szCs w:val="20"/>
          <w:lang w:val="fr-FR" w:eastAsia="en-US"/>
        </w:rPr>
        <w:t>Neuroticismin</w:t>
      </w:r>
      <w:proofErr w:type="spellEnd"/>
      <w:r w:rsidRPr="00183207">
        <w:rPr>
          <w:sz w:val="20"/>
          <w:szCs w:val="20"/>
          <w:lang w:val="fr-FR" w:eastAsia="en-US"/>
        </w:rPr>
        <w:t xml:space="preserve"> </w:t>
      </w:r>
      <w:r w:rsidR="00D40261" w:rsidRPr="00183207">
        <w:rPr>
          <w:sz w:val="20"/>
          <w:szCs w:val="20"/>
          <w:lang w:val="fr-FR" w:eastAsia="en-US"/>
        </w:rPr>
        <w:t xml:space="preserve">in </w:t>
      </w:r>
      <w:r w:rsidRPr="00183207">
        <w:rPr>
          <w:sz w:val="20"/>
          <w:szCs w:val="20"/>
          <w:lang w:val="fr-FR" w:eastAsia="en-US"/>
        </w:rPr>
        <w:t xml:space="preserve">familial </w:t>
      </w:r>
      <w:proofErr w:type="spellStart"/>
      <w:r w:rsidRPr="00183207">
        <w:rPr>
          <w:sz w:val="20"/>
          <w:szCs w:val="20"/>
          <w:lang w:val="fr-FR" w:eastAsia="en-US"/>
        </w:rPr>
        <w:t>depression</w:t>
      </w:r>
      <w:proofErr w:type="spellEnd"/>
      <w:r w:rsidRPr="00183207">
        <w:rPr>
          <w:sz w:val="20"/>
          <w:szCs w:val="20"/>
          <w:lang w:val="fr-FR" w:eastAsia="en-US"/>
        </w:rPr>
        <w:t xml:space="preserve">. </w:t>
      </w:r>
      <w:proofErr w:type="spellStart"/>
      <w:r w:rsidRPr="00183207">
        <w:rPr>
          <w:i/>
          <w:iCs/>
          <w:sz w:val="20"/>
          <w:szCs w:val="20"/>
          <w:lang w:val="fr-FR" w:eastAsia="en-US"/>
        </w:rPr>
        <w:t>Psychological</w:t>
      </w:r>
      <w:proofErr w:type="spellEnd"/>
      <w:r w:rsidRPr="00183207">
        <w:rPr>
          <w:i/>
          <w:iCs/>
          <w:sz w:val="20"/>
          <w:szCs w:val="20"/>
          <w:lang w:val="fr-FR" w:eastAsia="en-US"/>
        </w:rPr>
        <w:t xml:space="preserve"> </w:t>
      </w:r>
      <w:proofErr w:type="spellStart"/>
      <w:r w:rsidRPr="00183207">
        <w:rPr>
          <w:i/>
          <w:iCs/>
          <w:sz w:val="20"/>
          <w:szCs w:val="20"/>
          <w:lang w:val="fr-FR" w:eastAsia="en-US"/>
        </w:rPr>
        <w:t>Medicine</w:t>
      </w:r>
      <w:proofErr w:type="spellEnd"/>
      <w:r w:rsidRPr="00183207">
        <w:rPr>
          <w:i/>
          <w:iCs/>
          <w:sz w:val="20"/>
          <w:szCs w:val="20"/>
          <w:lang w:val="fr-FR" w:eastAsia="en-US"/>
        </w:rPr>
        <w:t>, 17</w:t>
      </w:r>
      <w:r w:rsidR="00D40261" w:rsidRPr="00183207">
        <w:rPr>
          <w:i/>
          <w:iCs/>
          <w:sz w:val="20"/>
          <w:szCs w:val="20"/>
          <w:lang w:val="fr-FR" w:eastAsia="en-US"/>
        </w:rPr>
        <w:t>(1)</w:t>
      </w:r>
      <w:r w:rsidRPr="00183207">
        <w:rPr>
          <w:sz w:val="20"/>
          <w:szCs w:val="20"/>
          <w:lang w:val="fr-FR" w:eastAsia="en-US"/>
        </w:rPr>
        <w:t>,</w:t>
      </w:r>
      <w:r w:rsidR="00D40261" w:rsidRPr="00183207">
        <w:rPr>
          <w:sz w:val="20"/>
          <w:szCs w:val="20"/>
          <w:lang w:val="fr-FR" w:eastAsia="en-US"/>
        </w:rPr>
        <w:t xml:space="preserve"> </w:t>
      </w:r>
      <w:r w:rsidRPr="00183207">
        <w:rPr>
          <w:sz w:val="20"/>
          <w:szCs w:val="20"/>
          <w:lang w:val="fr-FR" w:eastAsia="en-US"/>
        </w:rPr>
        <w:t>155</w:t>
      </w:r>
      <w:r w:rsidRPr="00183207">
        <w:rPr>
          <w:sz w:val="20"/>
          <w:szCs w:val="20"/>
          <w:lang w:val="en-US" w:eastAsia="en-US"/>
        </w:rPr>
        <w:t>-</w:t>
      </w:r>
      <w:r w:rsidRPr="00183207">
        <w:rPr>
          <w:sz w:val="20"/>
          <w:szCs w:val="20"/>
          <w:lang w:val="fr-FR" w:eastAsia="en-US"/>
        </w:rPr>
        <w:t>161</w:t>
      </w:r>
      <w:r w:rsidRPr="00183207">
        <w:rPr>
          <w:sz w:val="20"/>
          <w:szCs w:val="20"/>
          <w:lang w:val="en-US" w:eastAsia="en-US"/>
        </w:rPr>
        <w:t>.</w:t>
      </w:r>
      <w:r w:rsidR="00D40261" w:rsidRPr="00183207">
        <w:rPr>
          <w:sz w:val="20"/>
          <w:szCs w:val="20"/>
        </w:rPr>
        <w:t xml:space="preserve"> doi:10.1017/S0033291700013052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183207">
        <w:rPr>
          <w:sz w:val="20"/>
          <w:szCs w:val="20"/>
          <w:lang w:val="en-US"/>
        </w:rPr>
        <w:t>Klinkosz</w:t>
      </w:r>
      <w:proofErr w:type="spellEnd"/>
      <w:r w:rsidRPr="00183207">
        <w:rPr>
          <w:sz w:val="20"/>
          <w:szCs w:val="20"/>
          <w:lang w:val="en-US"/>
        </w:rPr>
        <w:t>, W., Sekowski, A., &amp; Brambring, M. (2006).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proofErr w:type="gramStart"/>
      <w:r w:rsidRPr="00183207">
        <w:rPr>
          <w:sz w:val="20"/>
          <w:szCs w:val="20"/>
          <w:lang w:val="en-US"/>
        </w:rPr>
        <w:t>Academic Achievement and Personality in University Students Who Are Visually Impaired.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>Journal of Visual Impairment &amp; Blindness, 100(11)</w:t>
      </w:r>
      <w:r w:rsidRPr="00183207">
        <w:rPr>
          <w:sz w:val="20"/>
          <w:szCs w:val="20"/>
          <w:lang w:val="en-US"/>
        </w:rPr>
        <w:t>, 666-675.</w:t>
      </w:r>
    </w:p>
    <w:p w:rsidR="009A4CE9" w:rsidRPr="00183207" w:rsidRDefault="009A4CE9" w:rsidP="00183207">
      <w:pPr>
        <w:shd w:val="clear" w:color="auto" w:fill="FFFFFF"/>
        <w:jc w:val="both"/>
        <w:rPr>
          <w:spacing w:val="1"/>
          <w:sz w:val="20"/>
          <w:szCs w:val="20"/>
          <w:lang w:val="en-US"/>
        </w:rPr>
      </w:pPr>
      <w:proofErr w:type="gramStart"/>
      <w:r w:rsidRPr="00183207">
        <w:rPr>
          <w:spacing w:val="1"/>
          <w:sz w:val="20"/>
          <w:szCs w:val="20"/>
          <w:lang w:val="en-US"/>
        </w:rPr>
        <w:t>Lynn, R., &amp; Martin, T. (1997).</w:t>
      </w:r>
      <w:proofErr w:type="gramEnd"/>
      <w:r w:rsidRPr="00183207">
        <w:rPr>
          <w:spacing w:val="1"/>
          <w:sz w:val="20"/>
          <w:szCs w:val="20"/>
          <w:lang w:val="en-US"/>
        </w:rPr>
        <w:t xml:space="preserve"> </w:t>
      </w:r>
      <w:proofErr w:type="gramStart"/>
      <w:r w:rsidRPr="00183207">
        <w:rPr>
          <w:spacing w:val="1"/>
          <w:sz w:val="20"/>
          <w:szCs w:val="20"/>
          <w:lang w:val="en-US"/>
        </w:rPr>
        <w:t>Gender differences in extraversion, neuroticism, and psychoticism in 37 nations.</w:t>
      </w:r>
      <w:proofErr w:type="gramEnd"/>
      <w:r w:rsidRPr="00183207">
        <w:rPr>
          <w:spacing w:val="1"/>
          <w:sz w:val="20"/>
          <w:szCs w:val="20"/>
          <w:lang w:val="en-US"/>
        </w:rPr>
        <w:t xml:space="preserve"> </w:t>
      </w:r>
      <w:r w:rsidRPr="00183207">
        <w:rPr>
          <w:i/>
          <w:iCs/>
          <w:spacing w:val="1"/>
          <w:sz w:val="20"/>
          <w:szCs w:val="20"/>
          <w:lang w:val="en-US"/>
        </w:rPr>
        <w:t>The Journal of Social Psychology, 137</w:t>
      </w:r>
      <w:r w:rsidR="00477037" w:rsidRPr="00183207">
        <w:rPr>
          <w:i/>
          <w:iCs/>
          <w:spacing w:val="1"/>
          <w:sz w:val="20"/>
          <w:szCs w:val="20"/>
          <w:lang w:val="en-US"/>
        </w:rPr>
        <w:t>(3)</w:t>
      </w:r>
      <w:r w:rsidRPr="00183207">
        <w:rPr>
          <w:spacing w:val="1"/>
          <w:sz w:val="20"/>
          <w:szCs w:val="20"/>
          <w:lang w:val="en-US"/>
        </w:rPr>
        <w:t>, 369-373.</w:t>
      </w:r>
      <w:r w:rsidR="00477037" w:rsidRPr="00183207">
        <w:rPr>
          <w:spacing w:val="1"/>
          <w:sz w:val="20"/>
          <w:szCs w:val="20"/>
          <w:lang w:val="en-US"/>
        </w:rPr>
        <w:t xml:space="preserve"> </w:t>
      </w:r>
      <w:r w:rsidR="00477037" w:rsidRPr="00183207">
        <w:rPr>
          <w:sz w:val="20"/>
          <w:szCs w:val="20"/>
        </w:rPr>
        <w:t>doi:10.1080/00224549709595447</w:t>
      </w:r>
    </w:p>
    <w:p w:rsidR="006B64B0" w:rsidRPr="00183207" w:rsidRDefault="00074EFD" w:rsidP="00183207">
      <w:pPr>
        <w:shd w:val="clear" w:color="auto" w:fill="FFFFFF"/>
        <w:jc w:val="both"/>
        <w:rPr>
          <w:spacing w:val="1"/>
          <w:sz w:val="20"/>
          <w:szCs w:val="20"/>
          <w:lang w:val="en-US"/>
        </w:rPr>
      </w:pPr>
      <w:r w:rsidRPr="00183207">
        <w:rPr>
          <w:spacing w:val="1"/>
          <w:sz w:val="20"/>
          <w:szCs w:val="20"/>
          <w:lang w:val="en-US"/>
        </w:rPr>
        <w:t>McCrae, R.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Pr="00183207">
        <w:rPr>
          <w:spacing w:val="1"/>
          <w:sz w:val="20"/>
          <w:szCs w:val="20"/>
          <w:lang w:val="en-US"/>
        </w:rPr>
        <w:t>R., Costa, T.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="006B64B0" w:rsidRPr="00183207">
        <w:rPr>
          <w:spacing w:val="1"/>
          <w:sz w:val="20"/>
          <w:szCs w:val="20"/>
          <w:lang w:val="en-US"/>
        </w:rPr>
        <w:t xml:space="preserve">P., </w:t>
      </w:r>
      <w:proofErr w:type="spellStart"/>
      <w:r w:rsidR="006B64B0" w:rsidRPr="00183207">
        <w:rPr>
          <w:spacing w:val="1"/>
          <w:sz w:val="20"/>
          <w:szCs w:val="20"/>
          <w:lang w:val="en-US"/>
        </w:rPr>
        <w:t>Hřebíčko</w:t>
      </w:r>
      <w:r w:rsidRPr="00183207">
        <w:rPr>
          <w:spacing w:val="1"/>
          <w:sz w:val="20"/>
          <w:szCs w:val="20"/>
          <w:lang w:val="en-US"/>
        </w:rPr>
        <w:t>vá</w:t>
      </w:r>
      <w:proofErr w:type="spellEnd"/>
      <w:r w:rsidRPr="00183207">
        <w:rPr>
          <w:spacing w:val="1"/>
          <w:sz w:val="20"/>
          <w:szCs w:val="20"/>
          <w:lang w:val="en-US"/>
        </w:rPr>
        <w:t xml:space="preserve">, M., </w:t>
      </w:r>
      <w:proofErr w:type="spellStart"/>
      <w:r w:rsidRPr="00183207">
        <w:rPr>
          <w:spacing w:val="1"/>
          <w:sz w:val="20"/>
          <w:szCs w:val="20"/>
          <w:lang w:val="en-US"/>
        </w:rPr>
        <w:t>Urbánek</w:t>
      </w:r>
      <w:proofErr w:type="spellEnd"/>
      <w:r w:rsidRPr="00183207">
        <w:rPr>
          <w:spacing w:val="1"/>
          <w:sz w:val="20"/>
          <w:szCs w:val="20"/>
          <w:lang w:val="en-US"/>
        </w:rPr>
        <w:t>, T., Martin, A.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Pr="00183207">
        <w:rPr>
          <w:spacing w:val="1"/>
          <w:sz w:val="20"/>
          <w:szCs w:val="20"/>
          <w:lang w:val="en-US"/>
        </w:rPr>
        <w:t xml:space="preserve">T., </w:t>
      </w:r>
      <w:proofErr w:type="spellStart"/>
      <w:r w:rsidRPr="00183207">
        <w:rPr>
          <w:spacing w:val="1"/>
          <w:sz w:val="20"/>
          <w:szCs w:val="20"/>
          <w:lang w:val="en-US"/>
        </w:rPr>
        <w:t>Oryol</w:t>
      </w:r>
      <w:proofErr w:type="spellEnd"/>
      <w:r w:rsidRPr="00183207">
        <w:rPr>
          <w:spacing w:val="1"/>
          <w:sz w:val="20"/>
          <w:szCs w:val="20"/>
          <w:lang w:val="en-US"/>
        </w:rPr>
        <w:t>, E.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Pr="00183207">
        <w:rPr>
          <w:spacing w:val="1"/>
          <w:sz w:val="20"/>
          <w:szCs w:val="20"/>
          <w:lang w:val="en-US"/>
        </w:rPr>
        <w:t xml:space="preserve">V., </w:t>
      </w:r>
      <w:proofErr w:type="spellStart"/>
      <w:r w:rsidRPr="00183207">
        <w:rPr>
          <w:spacing w:val="1"/>
          <w:sz w:val="20"/>
          <w:szCs w:val="20"/>
          <w:lang w:val="en-US"/>
        </w:rPr>
        <w:t>Rukavishnikov</w:t>
      </w:r>
      <w:proofErr w:type="spellEnd"/>
      <w:r w:rsidRPr="00183207">
        <w:rPr>
          <w:spacing w:val="1"/>
          <w:sz w:val="20"/>
          <w:szCs w:val="20"/>
          <w:lang w:val="en-US"/>
        </w:rPr>
        <w:t>, A.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="006B64B0" w:rsidRPr="00183207">
        <w:rPr>
          <w:spacing w:val="1"/>
          <w:sz w:val="20"/>
          <w:szCs w:val="20"/>
          <w:lang w:val="en-US"/>
        </w:rPr>
        <w:t>A.</w:t>
      </w:r>
      <w:r w:rsidRPr="00183207">
        <w:rPr>
          <w:spacing w:val="1"/>
          <w:sz w:val="20"/>
          <w:szCs w:val="20"/>
          <w:lang w:val="en-US"/>
        </w:rPr>
        <w:t xml:space="preserve">, &amp; </w:t>
      </w:r>
      <w:proofErr w:type="spellStart"/>
      <w:r w:rsidRPr="00183207">
        <w:rPr>
          <w:spacing w:val="1"/>
          <w:sz w:val="20"/>
          <w:szCs w:val="20"/>
          <w:lang w:val="en-US"/>
        </w:rPr>
        <w:t>Senin</w:t>
      </w:r>
      <w:proofErr w:type="spellEnd"/>
      <w:r w:rsidRPr="00183207">
        <w:rPr>
          <w:spacing w:val="1"/>
          <w:sz w:val="20"/>
          <w:szCs w:val="20"/>
          <w:lang w:val="en-US"/>
        </w:rPr>
        <w:t>, G.</w:t>
      </w:r>
      <w:r w:rsidR="00E75192" w:rsidRPr="00183207">
        <w:rPr>
          <w:spacing w:val="1"/>
          <w:sz w:val="20"/>
          <w:szCs w:val="20"/>
          <w:lang w:val="en-US"/>
        </w:rPr>
        <w:t xml:space="preserve"> </w:t>
      </w:r>
      <w:r w:rsidR="006B64B0" w:rsidRPr="00183207">
        <w:rPr>
          <w:spacing w:val="1"/>
          <w:sz w:val="20"/>
          <w:szCs w:val="20"/>
          <w:lang w:val="en-US"/>
        </w:rPr>
        <w:t xml:space="preserve">I. (2004). Age differences in personality traits across cultures: Self-report and observer perspectives. </w:t>
      </w:r>
      <w:r w:rsidR="0068321D" w:rsidRPr="00183207">
        <w:rPr>
          <w:i/>
          <w:spacing w:val="1"/>
          <w:sz w:val="20"/>
          <w:szCs w:val="20"/>
          <w:lang w:val="en-US"/>
        </w:rPr>
        <w:t>European Journal of Personality, 18</w:t>
      </w:r>
      <w:r w:rsidR="004466D1" w:rsidRPr="00183207">
        <w:rPr>
          <w:i/>
          <w:spacing w:val="1"/>
          <w:sz w:val="20"/>
          <w:szCs w:val="20"/>
          <w:lang w:val="en-US"/>
        </w:rPr>
        <w:t>(2)</w:t>
      </w:r>
      <w:r w:rsidR="0068321D" w:rsidRPr="00183207">
        <w:rPr>
          <w:i/>
          <w:spacing w:val="1"/>
          <w:sz w:val="20"/>
          <w:szCs w:val="20"/>
          <w:lang w:val="en-US"/>
        </w:rPr>
        <w:t xml:space="preserve">, </w:t>
      </w:r>
      <w:r w:rsidR="0068321D" w:rsidRPr="00183207">
        <w:rPr>
          <w:spacing w:val="1"/>
          <w:sz w:val="20"/>
          <w:szCs w:val="20"/>
          <w:lang w:val="en-US"/>
        </w:rPr>
        <w:t>143-157.</w:t>
      </w:r>
      <w:r w:rsidR="008F1D69" w:rsidRPr="00183207">
        <w:rPr>
          <w:spacing w:val="1"/>
          <w:sz w:val="20"/>
          <w:szCs w:val="20"/>
          <w:lang w:val="en-US"/>
        </w:rPr>
        <w:t xml:space="preserve"> </w:t>
      </w:r>
      <w:r w:rsidR="008F1D69" w:rsidRPr="00183207">
        <w:rPr>
          <w:sz w:val="20"/>
          <w:szCs w:val="20"/>
        </w:rPr>
        <w:t>doi:10.1002/per.510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fr-FR"/>
        </w:rPr>
        <w:t xml:space="preserve">Papadopoulos, K., &amp; Goudiras, D. (2004). </w:t>
      </w:r>
      <w:proofErr w:type="gramStart"/>
      <w:r w:rsidRPr="00183207">
        <w:rPr>
          <w:sz w:val="20"/>
          <w:szCs w:val="20"/>
          <w:lang w:val="en-US"/>
        </w:rPr>
        <w:t>Visually Impaired Students and University Examinations.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sz w:val="20"/>
          <w:szCs w:val="20"/>
          <w:lang w:val="en-US"/>
        </w:rPr>
        <w:t>British Journal of Visual Impairment</w:t>
      </w:r>
      <w:r w:rsidRPr="00183207">
        <w:rPr>
          <w:sz w:val="20"/>
          <w:szCs w:val="20"/>
          <w:lang w:val="en-US"/>
        </w:rPr>
        <w:t xml:space="preserve">, </w:t>
      </w:r>
      <w:r w:rsidRPr="00183207">
        <w:rPr>
          <w:i/>
          <w:iCs/>
          <w:sz w:val="20"/>
          <w:szCs w:val="20"/>
          <w:lang w:val="en-US"/>
        </w:rPr>
        <w:t>22(2)</w:t>
      </w:r>
      <w:r w:rsidRPr="00183207">
        <w:rPr>
          <w:sz w:val="20"/>
          <w:szCs w:val="20"/>
          <w:lang w:val="en-US"/>
        </w:rPr>
        <w:t xml:space="preserve">, </w:t>
      </w:r>
      <w:r w:rsidRPr="00183207">
        <w:rPr>
          <w:sz w:val="20"/>
          <w:szCs w:val="20"/>
          <w:lang w:val="en-GB"/>
        </w:rPr>
        <w:t>66-70.</w:t>
      </w:r>
      <w:r w:rsidR="00CF5B1F" w:rsidRPr="00183207">
        <w:rPr>
          <w:sz w:val="20"/>
          <w:szCs w:val="20"/>
          <w:lang w:val="en-GB"/>
        </w:rPr>
        <w:t xml:space="preserve"> </w:t>
      </w:r>
      <w:r w:rsidR="00CF5B1F" w:rsidRPr="00183207">
        <w:rPr>
          <w:sz w:val="20"/>
          <w:szCs w:val="20"/>
        </w:rPr>
        <w:t>doi:10.1177/0264619604046640</w:t>
      </w:r>
    </w:p>
    <w:p w:rsidR="009A4CE9" w:rsidRPr="00183207" w:rsidRDefault="009A4CE9" w:rsidP="00183207">
      <w:pPr>
        <w:jc w:val="both"/>
        <w:rPr>
          <w:rStyle w:val="medium-normal1"/>
          <w:rFonts w:ascii="Times New Roman" w:hAnsi="Times New Roman" w:cs="Times New Roman"/>
          <w:sz w:val="20"/>
          <w:szCs w:val="20"/>
          <w:lang w:val="en-US"/>
        </w:rPr>
      </w:pPr>
      <w:r w:rsidRPr="00183207">
        <w:rPr>
          <w:color w:val="000000"/>
          <w:sz w:val="20"/>
          <w:szCs w:val="20"/>
          <w:lang w:val="en-GB"/>
        </w:rPr>
        <w:t>Reid, J. (2000)</w:t>
      </w:r>
      <w:r w:rsidR="00074EFD" w:rsidRPr="00183207">
        <w:rPr>
          <w:color w:val="000000"/>
          <w:sz w:val="20"/>
          <w:szCs w:val="20"/>
          <w:lang w:val="en-GB"/>
        </w:rPr>
        <w:t>.</w:t>
      </w:r>
      <w:r w:rsidRPr="00183207">
        <w:rPr>
          <w:color w:val="000000"/>
          <w:sz w:val="20"/>
          <w:szCs w:val="20"/>
          <w:lang w:val="en-GB"/>
        </w:rPr>
        <w:t xml:space="preserve"> </w:t>
      </w:r>
      <w:proofErr w:type="gramStart"/>
      <w:r w:rsidRPr="00183207">
        <w:rPr>
          <w:rStyle w:val="title-bold-large1"/>
          <w:rFonts w:ascii="Times New Roman" w:hAnsi="Times New Roman" w:cs="Times New Roman"/>
          <w:b w:val="0"/>
          <w:sz w:val="20"/>
          <w:szCs w:val="20"/>
          <w:lang w:val="en-GB"/>
        </w:rPr>
        <w:t>Initial Evaluations of Mainstream Personality Tests for Use with Visually Impaired Adults in Vocational Assessment and Guidance.</w:t>
      </w:r>
      <w:proofErr w:type="gramEnd"/>
      <w:r w:rsidRPr="00183207">
        <w:rPr>
          <w:rStyle w:val="title-bold-large1"/>
          <w:rFonts w:ascii="Times New Roman" w:hAnsi="Times New Roman" w:cs="Times New Roman"/>
          <w:b w:val="0"/>
          <w:sz w:val="20"/>
          <w:szCs w:val="20"/>
          <w:lang w:val="en-GB"/>
        </w:rPr>
        <w:t xml:space="preserve"> </w:t>
      </w:r>
      <w:r w:rsidRPr="00183207">
        <w:rPr>
          <w:rStyle w:val="medium-bold1"/>
          <w:rFonts w:ascii="Times New Roman" w:hAnsi="Times New Roman" w:cs="Times New Roman"/>
          <w:b w:val="0"/>
          <w:i/>
          <w:sz w:val="20"/>
          <w:szCs w:val="20"/>
          <w:lang w:val="en-GB"/>
        </w:rPr>
        <w:t>Journal of Visual Impairment &amp; Blindness,</w:t>
      </w:r>
      <w:r w:rsidRPr="00183207">
        <w:rPr>
          <w:rStyle w:val="medium-normal1"/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183207">
        <w:rPr>
          <w:rStyle w:val="medium-normal1"/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94(4)</w:t>
      </w:r>
      <w:r w:rsidRPr="00183207">
        <w:rPr>
          <w:rStyle w:val="medium-normal1"/>
          <w:rFonts w:ascii="Times New Roman" w:hAnsi="Times New Roman" w:cs="Times New Roman"/>
          <w:color w:val="000000"/>
          <w:sz w:val="20"/>
          <w:szCs w:val="20"/>
          <w:lang w:val="en-GB"/>
        </w:rPr>
        <w:t>, 229-231.</w:t>
      </w:r>
    </w:p>
    <w:p w:rsidR="009A4CE9" w:rsidRPr="00183207" w:rsidRDefault="009A4CE9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 xml:space="preserve">Swallow, R. (1982). </w:t>
      </w:r>
      <w:proofErr w:type="gramStart"/>
      <w:r w:rsidRPr="00183207">
        <w:rPr>
          <w:sz w:val="20"/>
          <w:szCs w:val="20"/>
          <w:lang w:val="en-US"/>
        </w:rPr>
        <w:t>Fifty assessment instruments commonly used with blind and partially seeing individuals.</w:t>
      </w:r>
      <w:proofErr w:type="gramEnd"/>
      <w:r w:rsidRPr="00183207">
        <w:rPr>
          <w:sz w:val="20"/>
          <w:szCs w:val="20"/>
          <w:lang w:val="en-US"/>
        </w:rPr>
        <w:t xml:space="preserve"> </w:t>
      </w:r>
      <w:r w:rsidRPr="00183207">
        <w:rPr>
          <w:i/>
          <w:iCs/>
          <w:sz w:val="20"/>
          <w:szCs w:val="20"/>
          <w:lang w:val="en-US"/>
        </w:rPr>
        <w:t xml:space="preserve">Journal of </w:t>
      </w:r>
      <w:r w:rsidRPr="00183207">
        <w:rPr>
          <w:rStyle w:val="hit"/>
          <w:i/>
          <w:iCs/>
          <w:sz w:val="20"/>
          <w:szCs w:val="20"/>
          <w:lang w:val="en-US"/>
        </w:rPr>
        <w:t>Visual</w:t>
      </w:r>
      <w:r w:rsidRPr="00183207">
        <w:rPr>
          <w:i/>
          <w:iCs/>
          <w:sz w:val="20"/>
          <w:szCs w:val="20"/>
          <w:lang w:val="en-US"/>
        </w:rPr>
        <w:t xml:space="preserve"> </w:t>
      </w:r>
      <w:r w:rsidRPr="00183207">
        <w:rPr>
          <w:rStyle w:val="hit"/>
          <w:i/>
          <w:iCs/>
          <w:sz w:val="20"/>
          <w:szCs w:val="20"/>
          <w:lang w:val="en-US"/>
        </w:rPr>
        <w:t>Impairment</w:t>
      </w:r>
      <w:r w:rsidRPr="00183207">
        <w:rPr>
          <w:i/>
          <w:iCs/>
          <w:sz w:val="20"/>
          <w:szCs w:val="20"/>
          <w:lang w:val="en-US"/>
        </w:rPr>
        <w:t xml:space="preserve"> &amp; Blindness</w:t>
      </w:r>
      <w:r w:rsidRPr="00183207">
        <w:rPr>
          <w:sz w:val="20"/>
          <w:szCs w:val="20"/>
          <w:lang w:val="en-US"/>
        </w:rPr>
        <w:t xml:space="preserve">, </w:t>
      </w:r>
      <w:r w:rsidRPr="00183207">
        <w:rPr>
          <w:i/>
          <w:iCs/>
          <w:sz w:val="20"/>
          <w:szCs w:val="20"/>
          <w:lang w:val="en-US"/>
        </w:rPr>
        <w:t>75</w:t>
      </w:r>
      <w:r w:rsidRPr="00183207">
        <w:rPr>
          <w:sz w:val="20"/>
          <w:szCs w:val="20"/>
          <w:lang w:val="en-US"/>
        </w:rPr>
        <w:t>, 65-72.</w:t>
      </w:r>
    </w:p>
    <w:p w:rsidR="009A4CE9" w:rsidRPr="00183207" w:rsidRDefault="00074EFD" w:rsidP="00183207">
      <w:pPr>
        <w:jc w:val="both"/>
        <w:rPr>
          <w:sz w:val="20"/>
          <w:szCs w:val="20"/>
          <w:lang w:val="en-US"/>
        </w:rPr>
      </w:pPr>
      <w:proofErr w:type="gramStart"/>
      <w:r w:rsidRPr="00183207">
        <w:rPr>
          <w:sz w:val="20"/>
          <w:szCs w:val="20"/>
          <w:lang w:val="en-US"/>
        </w:rPr>
        <w:t>Warren, D.</w:t>
      </w:r>
      <w:r w:rsidR="00E75192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>H. (1984).</w:t>
      </w:r>
      <w:proofErr w:type="gramEnd"/>
      <w:r w:rsidR="009A4CE9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i/>
          <w:sz w:val="20"/>
          <w:szCs w:val="20"/>
          <w:lang w:val="en-US"/>
        </w:rPr>
        <w:t>Blindness and Early Childhood Development</w:t>
      </w:r>
      <w:r w:rsidR="009A4CE9" w:rsidRPr="00183207">
        <w:rPr>
          <w:sz w:val="20"/>
          <w:szCs w:val="20"/>
          <w:lang w:val="en-US"/>
        </w:rPr>
        <w:t xml:space="preserve"> (2</w:t>
      </w:r>
      <w:r w:rsidR="009A4CE9" w:rsidRPr="00183207">
        <w:rPr>
          <w:sz w:val="20"/>
          <w:szCs w:val="20"/>
          <w:vertAlign w:val="superscript"/>
          <w:lang w:val="en-US"/>
        </w:rPr>
        <w:t>nd</w:t>
      </w:r>
      <w:r w:rsidR="009A4CE9" w:rsidRPr="00183207">
        <w:rPr>
          <w:sz w:val="20"/>
          <w:szCs w:val="20"/>
          <w:lang w:val="en-US"/>
        </w:rPr>
        <w:t xml:space="preserve"> </w:t>
      </w:r>
      <w:proofErr w:type="gramStart"/>
      <w:r w:rsidR="009A4CE9" w:rsidRPr="00183207">
        <w:rPr>
          <w:sz w:val="20"/>
          <w:szCs w:val="20"/>
          <w:lang w:val="en-US"/>
        </w:rPr>
        <w:t>ed</w:t>
      </w:r>
      <w:proofErr w:type="gramEnd"/>
      <w:r w:rsidR="009A4CE9" w:rsidRPr="00183207">
        <w:rPr>
          <w:sz w:val="20"/>
          <w:szCs w:val="20"/>
          <w:lang w:val="en-US"/>
        </w:rPr>
        <w:t xml:space="preserve">.). </w:t>
      </w:r>
      <w:r w:rsidR="009A4CE9" w:rsidRPr="00183207">
        <w:rPr>
          <w:sz w:val="20"/>
          <w:szCs w:val="20"/>
        </w:rPr>
        <w:t>ΝΥ</w:t>
      </w:r>
      <w:r w:rsidR="009A4CE9" w:rsidRPr="00183207">
        <w:rPr>
          <w:sz w:val="20"/>
          <w:szCs w:val="20"/>
          <w:lang w:val="en-US"/>
        </w:rPr>
        <w:t>: American Foundation for the Blind.</w:t>
      </w:r>
    </w:p>
    <w:p w:rsidR="009A4CE9" w:rsidRPr="00183207" w:rsidRDefault="00074EFD" w:rsidP="00183207">
      <w:pPr>
        <w:jc w:val="both"/>
        <w:rPr>
          <w:sz w:val="20"/>
          <w:szCs w:val="20"/>
          <w:lang w:val="en-US"/>
        </w:rPr>
      </w:pPr>
      <w:r w:rsidRPr="00183207">
        <w:rPr>
          <w:sz w:val="20"/>
          <w:szCs w:val="20"/>
          <w:lang w:val="en-US"/>
        </w:rPr>
        <w:t>Wilson, D.</w:t>
      </w:r>
      <w:r w:rsidR="00E75192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sz w:val="20"/>
          <w:szCs w:val="20"/>
          <w:lang w:val="en-US"/>
        </w:rPr>
        <w:t xml:space="preserve">J., &amp; Doolabh, A. (1992). </w:t>
      </w:r>
      <w:proofErr w:type="gramStart"/>
      <w:r w:rsidR="009A4CE9" w:rsidRPr="00183207">
        <w:rPr>
          <w:sz w:val="20"/>
          <w:szCs w:val="20"/>
          <w:lang w:val="en-US"/>
        </w:rPr>
        <w:t>Reliability, factorial validity and equivalence of several forms of the Eysenck Personality Inventory/Questionnaire in Zimbabwe.</w:t>
      </w:r>
      <w:proofErr w:type="gramEnd"/>
      <w:r w:rsidR="009A4CE9" w:rsidRPr="00183207">
        <w:rPr>
          <w:sz w:val="20"/>
          <w:szCs w:val="20"/>
          <w:lang w:val="en-US"/>
        </w:rPr>
        <w:t xml:space="preserve"> </w:t>
      </w:r>
      <w:r w:rsidR="009A4CE9" w:rsidRPr="00183207">
        <w:rPr>
          <w:i/>
          <w:iCs/>
          <w:sz w:val="20"/>
          <w:szCs w:val="20"/>
          <w:lang w:val="en-US"/>
        </w:rPr>
        <w:t>Personality and Individual Differences, 13</w:t>
      </w:r>
      <w:r w:rsidR="00CF5B1F" w:rsidRPr="00183207">
        <w:rPr>
          <w:i/>
          <w:iCs/>
          <w:sz w:val="20"/>
          <w:szCs w:val="20"/>
          <w:lang w:val="en-US"/>
        </w:rPr>
        <w:t>(6)</w:t>
      </w:r>
      <w:r w:rsidR="009A4CE9" w:rsidRPr="00183207">
        <w:rPr>
          <w:sz w:val="20"/>
          <w:szCs w:val="20"/>
          <w:lang w:val="en-US"/>
        </w:rPr>
        <w:t>, 637–643.</w:t>
      </w:r>
      <w:r w:rsidR="00CF5B1F" w:rsidRPr="00183207">
        <w:rPr>
          <w:sz w:val="20"/>
          <w:szCs w:val="20"/>
        </w:rPr>
        <w:t xml:space="preserve"> doi:10.1016/0191-8869(92)90234-G</w:t>
      </w:r>
    </w:p>
    <w:p w:rsidR="006B6642" w:rsidRPr="00183207" w:rsidRDefault="0077466E" w:rsidP="00183207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 w:eastAsia="en-US"/>
        </w:rPr>
      </w:pPr>
      <w:r w:rsidRPr="00183207">
        <w:rPr>
          <w:bCs/>
          <w:sz w:val="20"/>
          <w:szCs w:val="20"/>
          <w:lang w:val="de-DE" w:eastAsia="en-US"/>
        </w:rPr>
        <w:t>Wolf, H., Angleitner, A., Spinath, F.</w:t>
      </w:r>
      <w:r w:rsidR="00E75192" w:rsidRPr="00183207">
        <w:rPr>
          <w:bCs/>
          <w:sz w:val="20"/>
          <w:szCs w:val="20"/>
          <w:lang w:val="de-DE" w:eastAsia="en-US"/>
        </w:rPr>
        <w:t xml:space="preserve"> </w:t>
      </w:r>
      <w:r w:rsidRPr="00183207">
        <w:rPr>
          <w:bCs/>
          <w:sz w:val="20"/>
          <w:szCs w:val="20"/>
          <w:lang w:val="de-DE" w:eastAsia="en-US"/>
        </w:rPr>
        <w:t xml:space="preserve">M., Riemann, R., &amp; Strelau, J. (2004). </w:t>
      </w:r>
      <w:r w:rsidRPr="00183207">
        <w:rPr>
          <w:bCs/>
          <w:sz w:val="20"/>
          <w:szCs w:val="20"/>
          <w:lang w:val="en-US" w:eastAsia="en-US"/>
        </w:rPr>
        <w:t xml:space="preserve">Genetic and environmental influences on the EPQ-RS scales: a twin study using self- and peer reports. </w:t>
      </w:r>
      <w:r w:rsidRPr="00183207">
        <w:rPr>
          <w:bCs/>
          <w:i/>
          <w:iCs/>
          <w:sz w:val="20"/>
          <w:szCs w:val="20"/>
          <w:lang w:val="en-US" w:eastAsia="en-US"/>
        </w:rPr>
        <w:t>Personality and Individual Differences, 37</w:t>
      </w:r>
      <w:r w:rsidR="004466D1" w:rsidRPr="00183207">
        <w:rPr>
          <w:bCs/>
          <w:i/>
          <w:iCs/>
          <w:sz w:val="20"/>
          <w:szCs w:val="20"/>
          <w:lang w:val="en-US" w:eastAsia="en-US"/>
        </w:rPr>
        <w:t>(3)</w:t>
      </w:r>
      <w:r w:rsidRPr="00183207">
        <w:rPr>
          <w:bCs/>
          <w:sz w:val="20"/>
          <w:szCs w:val="20"/>
          <w:lang w:val="en-US" w:eastAsia="en-US"/>
        </w:rPr>
        <w:t>, 579–590.</w:t>
      </w:r>
      <w:r w:rsidR="004466D1" w:rsidRPr="00183207">
        <w:rPr>
          <w:sz w:val="20"/>
          <w:szCs w:val="20"/>
        </w:rPr>
        <w:t xml:space="preserve"> doi:10.1016/j.paid.2003.09.028</w:t>
      </w:r>
    </w:p>
    <w:p w:rsidR="00395CF1" w:rsidRPr="00183207" w:rsidRDefault="006B6642" w:rsidP="00183207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proofErr w:type="gramStart"/>
      <w:r w:rsidRPr="00183207">
        <w:rPr>
          <w:sz w:val="20"/>
          <w:szCs w:val="20"/>
          <w:lang w:val="en-GB"/>
        </w:rPr>
        <w:t>World Medical Association (2010).</w:t>
      </w:r>
      <w:proofErr w:type="gramEnd"/>
      <w:r w:rsidRPr="00183207">
        <w:rPr>
          <w:sz w:val="20"/>
          <w:szCs w:val="20"/>
          <w:lang w:val="en-GB"/>
        </w:rPr>
        <w:t xml:space="preserve"> </w:t>
      </w:r>
      <w:proofErr w:type="gramStart"/>
      <w:r w:rsidRPr="00183207">
        <w:rPr>
          <w:i/>
          <w:sz w:val="20"/>
          <w:szCs w:val="20"/>
          <w:lang w:val="en-GB"/>
        </w:rPr>
        <w:t>WMA Declaration of Helsinki - Ethical Principles for Medical Research Involving Human Subjects</w:t>
      </w:r>
      <w:r w:rsidRPr="00183207">
        <w:rPr>
          <w:sz w:val="20"/>
          <w:szCs w:val="20"/>
          <w:lang w:val="en-GB"/>
        </w:rPr>
        <w:t>.</w:t>
      </w:r>
      <w:proofErr w:type="gramEnd"/>
      <w:r w:rsidRPr="00183207">
        <w:rPr>
          <w:sz w:val="20"/>
          <w:szCs w:val="20"/>
          <w:lang w:val="en-GB"/>
        </w:rPr>
        <w:t xml:space="preserve"> Retrieved April 3, 2010, from </w:t>
      </w:r>
      <w:r w:rsidR="00395CF1" w:rsidRPr="00183207">
        <w:rPr>
          <w:sz w:val="20"/>
          <w:szCs w:val="20"/>
          <w:lang w:val="en-GB"/>
        </w:rPr>
        <w:t>http://www.wma.net/en/30publications/10policies/b3/index.html</w:t>
      </w:r>
    </w:p>
    <w:p w:rsidR="009A4CE9" w:rsidRPr="00183207" w:rsidRDefault="009A4CE9" w:rsidP="00183207">
      <w:pPr>
        <w:autoSpaceDE w:val="0"/>
        <w:autoSpaceDN w:val="0"/>
        <w:adjustRightInd w:val="0"/>
        <w:jc w:val="both"/>
        <w:rPr>
          <w:color w:val="FF0000"/>
          <w:sz w:val="20"/>
          <w:szCs w:val="20"/>
          <w:lang w:val="en-US" w:eastAsia="en-US"/>
        </w:rPr>
      </w:pPr>
    </w:p>
    <w:sectPr w:rsidR="009A4CE9" w:rsidRPr="00183207" w:rsidSect="0018320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40" w:right="1728" w:bottom="144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5A" w:rsidRDefault="0052645A">
      <w:r>
        <w:separator/>
      </w:r>
    </w:p>
  </w:endnote>
  <w:endnote w:type="continuationSeparator" w:id="0">
    <w:p w:rsidR="0052645A" w:rsidRDefault="0052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75" w:rsidRDefault="00C62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E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E75" w:rsidRDefault="00E94E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07" w:rsidRPr="00183207" w:rsidRDefault="00C6236A">
    <w:pPr>
      <w:pStyle w:val="Footer"/>
      <w:jc w:val="right"/>
      <w:rPr>
        <w:sz w:val="20"/>
        <w:szCs w:val="20"/>
      </w:rPr>
    </w:pPr>
    <w:r w:rsidRPr="00183207">
      <w:rPr>
        <w:sz w:val="20"/>
        <w:szCs w:val="20"/>
      </w:rPr>
      <w:fldChar w:fldCharType="begin"/>
    </w:r>
    <w:r w:rsidR="00183207" w:rsidRPr="00183207">
      <w:rPr>
        <w:sz w:val="20"/>
        <w:szCs w:val="20"/>
      </w:rPr>
      <w:instrText xml:space="preserve"> PAGE   \* MERGEFORMAT </w:instrText>
    </w:r>
    <w:r w:rsidRPr="00183207">
      <w:rPr>
        <w:sz w:val="20"/>
        <w:szCs w:val="20"/>
      </w:rPr>
      <w:fldChar w:fldCharType="separate"/>
    </w:r>
    <w:r w:rsidR="00073FD6">
      <w:rPr>
        <w:noProof/>
        <w:sz w:val="20"/>
        <w:szCs w:val="20"/>
      </w:rPr>
      <w:t>7</w:t>
    </w:r>
    <w:r w:rsidRPr="00183207">
      <w:rPr>
        <w:sz w:val="20"/>
        <w:szCs w:val="20"/>
      </w:rPr>
      <w:fldChar w:fldCharType="end"/>
    </w:r>
  </w:p>
  <w:p w:rsidR="00E94E75" w:rsidRDefault="00E94E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5A" w:rsidRDefault="0052645A">
      <w:r>
        <w:separator/>
      </w:r>
    </w:p>
  </w:footnote>
  <w:footnote w:type="continuationSeparator" w:id="0">
    <w:p w:rsidR="0052645A" w:rsidRDefault="0052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E75" w:rsidRDefault="00C623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E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E75">
      <w:rPr>
        <w:rStyle w:val="PageNumber"/>
        <w:noProof/>
      </w:rPr>
      <w:t>22</w:t>
    </w:r>
    <w:r>
      <w:rPr>
        <w:rStyle w:val="PageNumber"/>
      </w:rPr>
      <w:fldChar w:fldCharType="end"/>
    </w:r>
  </w:p>
  <w:p w:rsidR="00E94E75" w:rsidRDefault="00E94E7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07" w:rsidRDefault="00183207">
    <w:pPr>
      <w:pStyle w:val="Header"/>
    </w:pPr>
    <w:r>
      <w:rPr>
        <w:lang w:val="en-US"/>
      </w:rPr>
      <w:t>INTERNATIONAL JOURNAL OF SPECIAL EDUCATION</w:t>
    </w:r>
    <w:r>
      <w:rPr>
        <w:lang w:val="en-US"/>
      </w:rPr>
      <w:tab/>
    </w:r>
    <w:proofErr w:type="spellStart"/>
    <w:r>
      <w:rPr>
        <w:lang w:val="en-US"/>
      </w:rPr>
      <w:t>Vol</w:t>
    </w:r>
    <w:proofErr w:type="spellEnd"/>
    <w:r>
      <w:rPr>
        <w:lang w:val="en-US"/>
      </w:rPr>
      <w:t xml:space="preserve"> 28, No:  3, 2013</w:t>
    </w:r>
  </w:p>
  <w:p w:rsidR="00E94E75" w:rsidRPr="002646A4" w:rsidRDefault="00E94E75">
    <w:pPr>
      <w:pStyle w:val="Header"/>
      <w:ind w:right="360"/>
      <w:jc w:val="right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225"/>
    <w:multiLevelType w:val="multilevel"/>
    <w:tmpl w:val="C154429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DB428D"/>
    <w:multiLevelType w:val="hybridMultilevel"/>
    <w:tmpl w:val="ED72D7EE"/>
    <w:lvl w:ilvl="0" w:tplc="3F089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45680">
      <w:numFmt w:val="none"/>
      <w:lvlText w:val=""/>
      <w:lvlJc w:val="left"/>
      <w:pPr>
        <w:tabs>
          <w:tab w:val="num" w:pos="360"/>
        </w:tabs>
      </w:pPr>
    </w:lvl>
    <w:lvl w:ilvl="2" w:tplc="C54465A8">
      <w:numFmt w:val="none"/>
      <w:lvlText w:val=""/>
      <w:lvlJc w:val="left"/>
      <w:pPr>
        <w:tabs>
          <w:tab w:val="num" w:pos="360"/>
        </w:tabs>
      </w:pPr>
    </w:lvl>
    <w:lvl w:ilvl="3" w:tplc="4F9EE764">
      <w:numFmt w:val="none"/>
      <w:lvlText w:val=""/>
      <w:lvlJc w:val="left"/>
      <w:pPr>
        <w:tabs>
          <w:tab w:val="num" w:pos="360"/>
        </w:tabs>
      </w:pPr>
    </w:lvl>
    <w:lvl w:ilvl="4" w:tplc="9F0E8498">
      <w:numFmt w:val="none"/>
      <w:lvlText w:val=""/>
      <w:lvlJc w:val="left"/>
      <w:pPr>
        <w:tabs>
          <w:tab w:val="num" w:pos="360"/>
        </w:tabs>
      </w:pPr>
    </w:lvl>
    <w:lvl w:ilvl="5" w:tplc="27041B82">
      <w:numFmt w:val="none"/>
      <w:lvlText w:val=""/>
      <w:lvlJc w:val="left"/>
      <w:pPr>
        <w:tabs>
          <w:tab w:val="num" w:pos="360"/>
        </w:tabs>
      </w:pPr>
    </w:lvl>
    <w:lvl w:ilvl="6" w:tplc="9206839A">
      <w:numFmt w:val="none"/>
      <w:lvlText w:val=""/>
      <w:lvlJc w:val="left"/>
      <w:pPr>
        <w:tabs>
          <w:tab w:val="num" w:pos="360"/>
        </w:tabs>
      </w:pPr>
    </w:lvl>
    <w:lvl w:ilvl="7" w:tplc="2E76DCBC">
      <w:numFmt w:val="none"/>
      <w:lvlText w:val=""/>
      <w:lvlJc w:val="left"/>
      <w:pPr>
        <w:tabs>
          <w:tab w:val="num" w:pos="360"/>
        </w:tabs>
      </w:pPr>
    </w:lvl>
    <w:lvl w:ilvl="8" w:tplc="9132C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2F1"/>
    <w:rsid w:val="000018AF"/>
    <w:rsid w:val="00007BF5"/>
    <w:rsid w:val="000101D5"/>
    <w:rsid w:val="00021E4F"/>
    <w:rsid w:val="00021EB4"/>
    <w:rsid w:val="00023828"/>
    <w:rsid w:val="00023E7B"/>
    <w:rsid w:val="00026997"/>
    <w:rsid w:val="000300D8"/>
    <w:rsid w:val="00031C7C"/>
    <w:rsid w:val="0003234D"/>
    <w:rsid w:val="000346DC"/>
    <w:rsid w:val="000350E6"/>
    <w:rsid w:val="00040EDF"/>
    <w:rsid w:val="000459FD"/>
    <w:rsid w:val="00045DA8"/>
    <w:rsid w:val="00047597"/>
    <w:rsid w:val="00071811"/>
    <w:rsid w:val="00073FD6"/>
    <w:rsid w:val="00074EFD"/>
    <w:rsid w:val="00085AED"/>
    <w:rsid w:val="00090979"/>
    <w:rsid w:val="00091EB2"/>
    <w:rsid w:val="000933A6"/>
    <w:rsid w:val="000974F8"/>
    <w:rsid w:val="000A288E"/>
    <w:rsid w:val="000A7192"/>
    <w:rsid w:val="000B1A4D"/>
    <w:rsid w:val="000D347E"/>
    <w:rsid w:val="000D4B67"/>
    <w:rsid w:val="000D5DF9"/>
    <w:rsid w:val="000D60EF"/>
    <w:rsid w:val="000D6F72"/>
    <w:rsid w:val="000D7F40"/>
    <w:rsid w:val="000E0677"/>
    <w:rsid w:val="000E2AB0"/>
    <w:rsid w:val="000E2AF1"/>
    <w:rsid w:val="000E67EB"/>
    <w:rsid w:val="000F0116"/>
    <w:rsid w:val="000F0DBB"/>
    <w:rsid w:val="000F4E3D"/>
    <w:rsid w:val="00102E61"/>
    <w:rsid w:val="0010709C"/>
    <w:rsid w:val="00107245"/>
    <w:rsid w:val="0011510C"/>
    <w:rsid w:val="0012329E"/>
    <w:rsid w:val="00124D90"/>
    <w:rsid w:val="00134458"/>
    <w:rsid w:val="00135949"/>
    <w:rsid w:val="00136980"/>
    <w:rsid w:val="0015481D"/>
    <w:rsid w:val="00160035"/>
    <w:rsid w:val="0016113B"/>
    <w:rsid w:val="001629BF"/>
    <w:rsid w:val="001637DB"/>
    <w:rsid w:val="00164BDE"/>
    <w:rsid w:val="00177313"/>
    <w:rsid w:val="00180AA2"/>
    <w:rsid w:val="00183207"/>
    <w:rsid w:val="001848FB"/>
    <w:rsid w:val="00190FE1"/>
    <w:rsid w:val="00193A3C"/>
    <w:rsid w:val="001A12F1"/>
    <w:rsid w:val="001A1CD7"/>
    <w:rsid w:val="001A351E"/>
    <w:rsid w:val="001A481E"/>
    <w:rsid w:val="001A5135"/>
    <w:rsid w:val="001C192D"/>
    <w:rsid w:val="001C271B"/>
    <w:rsid w:val="001C3A77"/>
    <w:rsid w:val="001C4AB0"/>
    <w:rsid w:val="001C668F"/>
    <w:rsid w:val="001D19E5"/>
    <w:rsid w:val="001D2929"/>
    <w:rsid w:val="001D2F6A"/>
    <w:rsid w:val="001D6795"/>
    <w:rsid w:val="001D7495"/>
    <w:rsid w:val="001E1A32"/>
    <w:rsid w:val="001E3EF7"/>
    <w:rsid w:val="001E6012"/>
    <w:rsid w:val="001E7EEF"/>
    <w:rsid w:val="00200CB8"/>
    <w:rsid w:val="002063F1"/>
    <w:rsid w:val="00216165"/>
    <w:rsid w:val="00220D7B"/>
    <w:rsid w:val="00221C01"/>
    <w:rsid w:val="00221C26"/>
    <w:rsid w:val="00223062"/>
    <w:rsid w:val="002269DE"/>
    <w:rsid w:val="002333A9"/>
    <w:rsid w:val="00234E42"/>
    <w:rsid w:val="00237C20"/>
    <w:rsid w:val="00241FC4"/>
    <w:rsid w:val="00244D44"/>
    <w:rsid w:val="002556EF"/>
    <w:rsid w:val="002606CA"/>
    <w:rsid w:val="0026374A"/>
    <w:rsid w:val="0026383C"/>
    <w:rsid w:val="002646A4"/>
    <w:rsid w:val="00265AA7"/>
    <w:rsid w:val="002661AE"/>
    <w:rsid w:val="00270137"/>
    <w:rsid w:val="00276A1C"/>
    <w:rsid w:val="00277C80"/>
    <w:rsid w:val="00281037"/>
    <w:rsid w:val="002826F8"/>
    <w:rsid w:val="00284180"/>
    <w:rsid w:val="00286576"/>
    <w:rsid w:val="002A14DA"/>
    <w:rsid w:val="002A50E3"/>
    <w:rsid w:val="002A68AE"/>
    <w:rsid w:val="002A7EB7"/>
    <w:rsid w:val="002B36F3"/>
    <w:rsid w:val="002C0B15"/>
    <w:rsid w:val="002D320D"/>
    <w:rsid w:val="002D7385"/>
    <w:rsid w:val="002D7B33"/>
    <w:rsid w:val="002E2ACA"/>
    <w:rsid w:val="002F27B1"/>
    <w:rsid w:val="003017B5"/>
    <w:rsid w:val="00305947"/>
    <w:rsid w:val="00306922"/>
    <w:rsid w:val="003077F9"/>
    <w:rsid w:val="00311171"/>
    <w:rsid w:val="00311568"/>
    <w:rsid w:val="00313806"/>
    <w:rsid w:val="0031484A"/>
    <w:rsid w:val="0031669E"/>
    <w:rsid w:val="00321EBD"/>
    <w:rsid w:val="003224A4"/>
    <w:rsid w:val="00327521"/>
    <w:rsid w:val="00327619"/>
    <w:rsid w:val="003340D1"/>
    <w:rsid w:val="00336E7A"/>
    <w:rsid w:val="00340C10"/>
    <w:rsid w:val="00342169"/>
    <w:rsid w:val="00343F73"/>
    <w:rsid w:val="00345429"/>
    <w:rsid w:val="00347905"/>
    <w:rsid w:val="00366CF4"/>
    <w:rsid w:val="00372DC2"/>
    <w:rsid w:val="00375563"/>
    <w:rsid w:val="003951D0"/>
    <w:rsid w:val="00395CF1"/>
    <w:rsid w:val="003A43F1"/>
    <w:rsid w:val="003A4739"/>
    <w:rsid w:val="003A61D7"/>
    <w:rsid w:val="003A7741"/>
    <w:rsid w:val="003B17F6"/>
    <w:rsid w:val="003B3947"/>
    <w:rsid w:val="003C357C"/>
    <w:rsid w:val="003C5645"/>
    <w:rsid w:val="003C6AFC"/>
    <w:rsid w:val="003C71DA"/>
    <w:rsid w:val="003D49BE"/>
    <w:rsid w:val="003D60EA"/>
    <w:rsid w:val="003E43EF"/>
    <w:rsid w:val="003E67FE"/>
    <w:rsid w:val="003E7E89"/>
    <w:rsid w:val="00400C41"/>
    <w:rsid w:val="004030E5"/>
    <w:rsid w:val="0040398D"/>
    <w:rsid w:val="00406C3B"/>
    <w:rsid w:val="004079E2"/>
    <w:rsid w:val="00415317"/>
    <w:rsid w:val="00422268"/>
    <w:rsid w:val="00423C9B"/>
    <w:rsid w:val="00425405"/>
    <w:rsid w:val="004318E1"/>
    <w:rsid w:val="00431C55"/>
    <w:rsid w:val="00433CEC"/>
    <w:rsid w:val="004455E0"/>
    <w:rsid w:val="004466D1"/>
    <w:rsid w:val="00453750"/>
    <w:rsid w:val="0045506E"/>
    <w:rsid w:val="00455D8F"/>
    <w:rsid w:val="0046176A"/>
    <w:rsid w:val="00461D1D"/>
    <w:rsid w:val="00464853"/>
    <w:rsid w:val="00471F9D"/>
    <w:rsid w:val="00477037"/>
    <w:rsid w:val="00480AFA"/>
    <w:rsid w:val="00484353"/>
    <w:rsid w:val="00492724"/>
    <w:rsid w:val="0049367E"/>
    <w:rsid w:val="00496E1F"/>
    <w:rsid w:val="004A5C84"/>
    <w:rsid w:val="004B1E86"/>
    <w:rsid w:val="004B35FF"/>
    <w:rsid w:val="004C59A7"/>
    <w:rsid w:val="004D3CE1"/>
    <w:rsid w:val="004E1D95"/>
    <w:rsid w:val="004E45DE"/>
    <w:rsid w:val="004E549F"/>
    <w:rsid w:val="004E5F9C"/>
    <w:rsid w:val="004F0972"/>
    <w:rsid w:val="004F3020"/>
    <w:rsid w:val="004F39CA"/>
    <w:rsid w:val="00501FB0"/>
    <w:rsid w:val="00505242"/>
    <w:rsid w:val="00505D2D"/>
    <w:rsid w:val="005061DD"/>
    <w:rsid w:val="005110DC"/>
    <w:rsid w:val="0052047B"/>
    <w:rsid w:val="00521D05"/>
    <w:rsid w:val="00521EA9"/>
    <w:rsid w:val="00523CFE"/>
    <w:rsid w:val="0052645A"/>
    <w:rsid w:val="0052658B"/>
    <w:rsid w:val="0053086C"/>
    <w:rsid w:val="00533BB3"/>
    <w:rsid w:val="005377F5"/>
    <w:rsid w:val="00551A50"/>
    <w:rsid w:val="00554C86"/>
    <w:rsid w:val="0055787A"/>
    <w:rsid w:val="00563D6A"/>
    <w:rsid w:val="0056796B"/>
    <w:rsid w:val="005722DF"/>
    <w:rsid w:val="00585967"/>
    <w:rsid w:val="00596E5B"/>
    <w:rsid w:val="005A0B5F"/>
    <w:rsid w:val="005A387F"/>
    <w:rsid w:val="005B2F92"/>
    <w:rsid w:val="005B4CCE"/>
    <w:rsid w:val="005B65AA"/>
    <w:rsid w:val="005B6A2E"/>
    <w:rsid w:val="005B7026"/>
    <w:rsid w:val="005C17A2"/>
    <w:rsid w:val="005C1F1E"/>
    <w:rsid w:val="005C2CDE"/>
    <w:rsid w:val="005C6CAC"/>
    <w:rsid w:val="005D13D0"/>
    <w:rsid w:val="005D6200"/>
    <w:rsid w:val="005E1C13"/>
    <w:rsid w:val="005E3CE9"/>
    <w:rsid w:val="005E6841"/>
    <w:rsid w:val="005F28FC"/>
    <w:rsid w:val="005F2B41"/>
    <w:rsid w:val="005F2C1F"/>
    <w:rsid w:val="005F6171"/>
    <w:rsid w:val="005F7A01"/>
    <w:rsid w:val="005F7E09"/>
    <w:rsid w:val="00601990"/>
    <w:rsid w:val="0060258D"/>
    <w:rsid w:val="00606B87"/>
    <w:rsid w:val="00606FC7"/>
    <w:rsid w:val="0061363C"/>
    <w:rsid w:val="00641C1B"/>
    <w:rsid w:val="0064455C"/>
    <w:rsid w:val="00644A1E"/>
    <w:rsid w:val="00646860"/>
    <w:rsid w:val="00646FBC"/>
    <w:rsid w:val="0064757F"/>
    <w:rsid w:val="006509EE"/>
    <w:rsid w:val="006547D7"/>
    <w:rsid w:val="006629E7"/>
    <w:rsid w:val="00666C6D"/>
    <w:rsid w:val="00666CFA"/>
    <w:rsid w:val="00682A3B"/>
    <w:rsid w:val="00682D29"/>
    <w:rsid w:val="0068321D"/>
    <w:rsid w:val="0069069A"/>
    <w:rsid w:val="00691C96"/>
    <w:rsid w:val="00694AC1"/>
    <w:rsid w:val="006A1F2E"/>
    <w:rsid w:val="006A2E08"/>
    <w:rsid w:val="006A5B65"/>
    <w:rsid w:val="006B0342"/>
    <w:rsid w:val="006B071A"/>
    <w:rsid w:val="006B64B0"/>
    <w:rsid w:val="006B6642"/>
    <w:rsid w:val="006B7EAB"/>
    <w:rsid w:val="006C26EC"/>
    <w:rsid w:val="006C5889"/>
    <w:rsid w:val="006C6C0E"/>
    <w:rsid w:val="006C764F"/>
    <w:rsid w:val="006D4517"/>
    <w:rsid w:val="006E7C88"/>
    <w:rsid w:val="006F2AD5"/>
    <w:rsid w:val="006F7353"/>
    <w:rsid w:val="00707C8C"/>
    <w:rsid w:val="00722203"/>
    <w:rsid w:val="00730DB5"/>
    <w:rsid w:val="00734E2C"/>
    <w:rsid w:val="00735F90"/>
    <w:rsid w:val="00742BBA"/>
    <w:rsid w:val="00750194"/>
    <w:rsid w:val="0075246C"/>
    <w:rsid w:val="0075496F"/>
    <w:rsid w:val="00757BBC"/>
    <w:rsid w:val="00773942"/>
    <w:rsid w:val="0077466E"/>
    <w:rsid w:val="00777168"/>
    <w:rsid w:val="00785BC3"/>
    <w:rsid w:val="00795349"/>
    <w:rsid w:val="0079555C"/>
    <w:rsid w:val="007A274A"/>
    <w:rsid w:val="007A77A5"/>
    <w:rsid w:val="007B0743"/>
    <w:rsid w:val="007B44BF"/>
    <w:rsid w:val="007B5222"/>
    <w:rsid w:val="007B6097"/>
    <w:rsid w:val="007B6BE6"/>
    <w:rsid w:val="007C18B4"/>
    <w:rsid w:val="007C6CFE"/>
    <w:rsid w:val="007D0386"/>
    <w:rsid w:val="007D04BF"/>
    <w:rsid w:val="007E5F92"/>
    <w:rsid w:val="007E7B09"/>
    <w:rsid w:val="007E7D86"/>
    <w:rsid w:val="007E7DEC"/>
    <w:rsid w:val="007F1CC5"/>
    <w:rsid w:val="007F3DF1"/>
    <w:rsid w:val="007F7A8D"/>
    <w:rsid w:val="0080406C"/>
    <w:rsid w:val="00815371"/>
    <w:rsid w:val="008170D8"/>
    <w:rsid w:val="00821A0E"/>
    <w:rsid w:val="00822EB0"/>
    <w:rsid w:val="0082534F"/>
    <w:rsid w:val="0083152B"/>
    <w:rsid w:val="00836ADF"/>
    <w:rsid w:val="00837223"/>
    <w:rsid w:val="0084110D"/>
    <w:rsid w:val="00841652"/>
    <w:rsid w:val="00842C79"/>
    <w:rsid w:val="0084349A"/>
    <w:rsid w:val="008434E4"/>
    <w:rsid w:val="00847C9C"/>
    <w:rsid w:val="00851561"/>
    <w:rsid w:val="00854CA2"/>
    <w:rsid w:val="00860DCF"/>
    <w:rsid w:val="008709B7"/>
    <w:rsid w:val="008711B2"/>
    <w:rsid w:val="0087267E"/>
    <w:rsid w:val="0087302D"/>
    <w:rsid w:val="00873CAD"/>
    <w:rsid w:val="0088276B"/>
    <w:rsid w:val="00883882"/>
    <w:rsid w:val="00890A2A"/>
    <w:rsid w:val="00891F23"/>
    <w:rsid w:val="00893CED"/>
    <w:rsid w:val="00894FE8"/>
    <w:rsid w:val="00895D4F"/>
    <w:rsid w:val="0089761B"/>
    <w:rsid w:val="008A305E"/>
    <w:rsid w:val="008A411F"/>
    <w:rsid w:val="008C5265"/>
    <w:rsid w:val="008C6DCB"/>
    <w:rsid w:val="008E10CF"/>
    <w:rsid w:val="008E19D7"/>
    <w:rsid w:val="008E1ACE"/>
    <w:rsid w:val="008E35F9"/>
    <w:rsid w:val="008E46AE"/>
    <w:rsid w:val="008F1D69"/>
    <w:rsid w:val="008F5B0F"/>
    <w:rsid w:val="008F664A"/>
    <w:rsid w:val="00900806"/>
    <w:rsid w:val="00904C82"/>
    <w:rsid w:val="00906DAD"/>
    <w:rsid w:val="00913D3D"/>
    <w:rsid w:val="00916548"/>
    <w:rsid w:val="00917A53"/>
    <w:rsid w:val="00922A6E"/>
    <w:rsid w:val="009257DD"/>
    <w:rsid w:val="0092763E"/>
    <w:rsid w:val="00935AB5"/>
    <w:rsid w:val="009477FA"/>
    <w:rsid w:val="009540CE"/>
    <w:rsid w:val="009568AB"/>
    <w:rsid w:val="00961914"/>
    <w:rsid w:val="00966889"/>
    <w:rsid w:val="00971B0B"/>
    <w:rsid w:val="009748B1"/>
    <w:rsid w:val="0097583C"/>
    <w:rsid w:val="00980BD8"/>
    <w:rsid w:val="00982740"/>
    <w:rsid w:val="00987570"/>
    <w:rsid w:val="00994540"/>
    <w:rsid w:val="00996F9C"/>
    <w:rsid w:val="009A07F2"/>
    <w:rsid w:val="009A3300"/>
    <w:rsid w:val="009A4452"/>
    <w:rsid w:val="009A4CE9"/>
    <w:rsid w:val="009C0095"/>
    <w:rsid w:val="009C5901"/>
    <w:rsid w:val="009C5BE9"/>
    <w:rsid w:val="009D0E07"/>
    <w:rsid w:val="009D691C"/>
    <w:rsid w:val="009E1189"/>
    <w:rsid w:val="009E38E3"/>
    <w:rsid w:val="009F026A"/>
    <w:rsid w:val="009F0A5B"/>
    <w:rsid w:val="00A12E7F"/>
    <w:rsid w:val="00A1783C"/>
    <w:rsid w:val="00A2102A"/>
    <w:rsid w:val="00A366AC"/>
    <w:rsid w:val="00A373FE"/>
    <w:rsid w:val="00A37C05"/>
    <w:rsid w:val="00A501A5"/>
    <w:rsid w:val="00A50E55"/>
    <w:rsid w:val="00A52A28"/>
    <w:rsid w:val="00A535FA"/>
    <w:rsid w:val="00A54E78"/>
    <w:rsid w:val="00A55891"/>
    <w:rsid w:val="00A57895"/>
    <w:rsid w:val="00A611C4"/>
    <w:rsid w:val="00A6216C"/>
    <w:rsid w:val="00A62953"/>
    <w:rsid w:val="00A62B66"/>
    <w:rsid w:val="00A74AFC"/>
    <w:rsid w:val="00A80705"/>
    <w:rsid w:val="00A808C7"/>
    <w:rsid w:val="00A84992"/>
    <w:rsid w:val="00AA4418"/>
    <w:rsid w:val="00AA5B14"/>
    <w:rsid w:val="00AA5EB0"/>
    <w:rsid w:val="00AA5F30"/>
    <w:rsid w:val="00AB0652"/>
    <w:rsid w:val="00AB3102"/>
    <w:rsid w:val="00AD23E2"/>
    <w:rsid w:val="00AD2B9C"/>
    <w:rsid w:val="00AE7006"/>
    <w:rsid w:val="00AF3E7B"/>
    <w:rsid w:val="00B016EB"/>
    <w:rsid w:val="00B02274"/>
    <w:rsid w:val="00B077D5"/>
    <w:rsid w:val="00B114E2"/>
    <w:rsid w:val="00B11DE2"/>
    <w:rsid w:val="00B12342"/>
    <w:rsid w:val="00B14B3E"/>
    <w:rsid w:val="00B2600E"/>
    <w:rsid w:val="00B26D1A"/>
    <w:rsid w:val="00B40BF5"/>
    <w:rsid w:val="00B45367"/>
    <w:rsid w:val="00B5379F"/>
    <w:rsid w:val="00B55493"/>
    <w:rsid w:val="00B60343"/>
    <w:rsid w:val="00B702D5"/>
    <w:rsid w:val="00B72F05"/>
    <w:rsid w:val="00B76041"/>
    <w:rsid w:val="00B85DD5"/>
    <w:rsid w:val="00BA0300"/>
    <w:rsid w:val="00BA1CD9"/>
    <w:rsid w:val="00BB00BE"/>
    <w:rsid w:val="00BB125F"/>
    <w:rsid w:val="00BB415D"/>
    <w:rsid w:val="00BB4A39"/>
    <w:rsid w:val="00BC0E22"/>
    <w:rsid w:val="00BC1FC7"/>
    <w:rsid w:val="00BC3A37"/>
    <w:rsid w:val="00BC5B69"/>
    <w:rsid w:val="00BC5B6C"/>
    <w:rsid w:val="00BC6F90"/>
    <w:rsid w:val="00BE28E2"/>
    <w:rsid w:val="00BE2C9D"/>
    <w:rsid w:val="00BE7CF1"/>
    <w:rsid w:val="00BF05FD"/>
    <w:rsid w:val="00BF37CF"/>
    <w:rsid w:val="00C04804"/>
    <w:rsid w:val="00C05A3E"/>
    <w:rsid w:val="00C17818"/>
    <w:rsid w:val="00C178A2"/>
    <w:rsid w:val="00C26A7B"/>
    <w:rsid w:val="00C31145"/>
    <w:rsid w:val="00C330E4"/>
    <w:rsid w:val="00C346CE"/>
    <w:rsid w:val="00C4407A"/>
    <w:rsid w:val="00C464AC"/>
    <w:rsid w:val="00C50995"/>
    <w:rsid w:val="00C50D7B"/>
    <w:rsid w:val="00C53488"/>
    <w:rsid w:val="00C6236A"/>
    <w:rsid w:val="00C72A91"/>
    <w:rsid w:val="00C73D1E"/>
    <w:rsid w:val="00C76A18"/>
    <w:rsid w:val="00C76F30"/>
    <w:rsid w:val="00C772E1"/>
    <w:rsid w:val="00C864E3"/>
    <w:rsid w:val="00C909AC"/>
    <w:rsid w:val="00C91012"/>
    <w:rsid w:val="00CA52E4"/>
    <w:rsid w:val="00CA6542"/>
    <w:rsid w:val="00CB0FDC"/>
    <w:rsid w:val="00CB117D"/>
    <w:rsid w:val="00CB16CA"/>
    <w:rsid w:val="00CC4477"/>
    <w:rsid w:val="00CC477B"/>
    <w:rsid w:val="00CD3941"/>
    <w:rsid w:val="00CD43EE"/>
    <w:rsid w:val="00CD7407"/>
    <w:rsid w:val="00CD798A"/>
    <w:rsid w:val="00CE1926"/>
    <w:rsid w:val="00CE64A0"/>
    <w:rsid w:val="00CF24BC"/>
    <w:rsid w:val="00CF341C"/>
    <w:rsid w:val="00CF3B18"/>
    <w:rsid w:val="00CF47AA"/>
    <w:rsid w:val="00CF5B1F"/>
    <w:rsid w:val="00D03E7B"/>
    <w:rsid w:val="00D03FB6"/>
    <w:rsid w:val="00D104C2"/>
    <w:rsid w:val="00D159EE"/>
    <w:rsid w:val="00D167D3"/>
    <w:rsid w:val="00D22F1D"/>
    <w:rsid w:val="00D30043"/>
    <w:rsid w:val="00D37011"/>
    <w:rsid w:val="00D40261"/>
    <w:rsid w:val="00D44A8C"/>
    <w:rsid w:val="00D457B6"/>
    <w:rsid w:val="00D661CF"/>
    <w:rsid w:val="00D66496"/>
    <w:rsid w:val="00D72D57"/>
    <w:rsid w:val="00D74426"/>
    <w:rsid w:val="00D7788E"/>
    <w:rsid w:val="00D77D97"/>
    <w:rsid w:val="00D92073"/>
    <w:rsid w:val="00D92229"/>
    <w:rsid w:val="00D943F3"/>
    <w:rsid w:val="00D976F4"/>
    <w:rsid w:val="00DA5A20"/>
    <w:rsid w:val="00DB092E"/>
    <w:rsid w:val="00DB0E06"/>
    <w:rsid w:val="00DB479A"/>
    <w:rsid w:val="00DB4E45"/>
    <w:rsid w:val="00DB5BB8"/>
    <w:rsid w:val="00DB7537"/>
    <w:rsid w:val="00DD4ED8"/>
    <w:rsid w:val="00DD793D"/>
    <w:rsid w:val="00DE00E7"/>
    <w:rsid w:val="00DE5D36"/>
    <w:rsid w:val="00DE6C74"/>
    <w:rsid w:val="00DE7867"/>
    <w:rsid w:val="00DF414F"/>
    <w:rsid w:val="00DF6B10"/>
    <w:rsid w:val="00E1191B"/>
    <w:rsid w:val="00E12032"/>
    <w:rsid w:val="00E145BD"/>
    <w:rsid w:val="00E15619"/>
    <w:rsid w:val="00E17AE3"/>
    <w:rsid w:val="00E2358D"/>
    <w:rsid w:val="00E241EA"/>
    <w:rsid w:val="00E271C4"/>
    <w:rsid w:val="00E27349"/>
    <w:rsid w:val="00E300E8"/>
    <w:rsid w:val="00E30103"/>
    <w:rsid w:val="00E31C30"/>
    <w:rsid w:val="00E33F9F"/>
    <w:rsid w:val="00E37EF8"/>
    <w:rsid w:val="00E40F1C"/>
    <w:rsid w:val="00E45980"/>
    <w:rsid w:val="00E5340A"/>
    <w:rsid w:val="00E57DD1"/>
    <w:rsid w:val="00E60EA0"/>
    <w:rsid w:val="00E616DE"/>
    <w:rsid w:val="00E70DC7"/>
    <w:rsid w:val="00E71090"/>
    <w:rsid w:val="00E75192"/>
    <w:rsid w:val="00E832D2"/>
    <w:rsid w:val="00E83B93"/>
    <w:rsid w:val="00E85783"/>
    <w:rsid w:val="00E87F68"/>
    <w:rsid w:val="00E9000E"/>
    <w:rsid w:val="00E92138"/>
    <w:rsid w:val="00E92BC2"/>
    <w:rsid w:val="00E94E75"/>
    <w:rsid w:val="00E9713C"/>
    <w:rsid w:val="00EA0D6B"/>
    <w:rsid w:val="00EA1855"/>
    <w:rsid w:val="00EA2FAB"/>
    <w:rsid w:val="00EA6950"/>
    <w:rsid w:val="00EB7DFC"/>
    <w:rsid w:val="00EC088F"/>
    <w:rsid w:val="00EC24E7"/>
    <w:rsid w:val="00EC598D"/>
    <w:rsid w:val="00ED4999"/>
    <w:rsid w:val="00EE0F3B"/>
    <w:rsid w:val="00EE2587"/>
    <w:rsid w:val="00EE3977"/>
    <w:rsid w:val="00EE6489"/>
    <w:rsid w:val="00EF02BE"/>
    <w:rsid w:val="00F06BC8"/>
    <w:rsid w:val="00F13F41"/>
    <w:rsid w:val="00F31D4F"/>
    <w:rsid w:val="00F3270B"/>
    <w:rsid w:val="00F3710A"/>
    <w:rsid w:val="00F4575D"/>
    <w:rsid w:val="00F51780"/>
    <w:rsid w:val="00F56457"/>
    <w:rsid w:val="00F63868"/>
    <w:rsid w:val="00F64073"/>
    <w:rsid w:val="00F65256"/>
    <w:rsid w:val="00F75AE5"/>
    <w:rsid w:val="00F80A7D"/>
    <w:rsid w:val="00F81FA1"/>
    <w:rsid w:val="00F86BA4"/>
    <w:rsid w:val="00F87971"/>
    <w:rsid w:val="00F902E2"/>
    <w:rsid w:val="00F929F5"/>
    <w:rsid w:val="00F92F1A"/>
    <w:rsid w:val="00F94BB5"/>
    <w:rsid w:val="00FA3304"/>
    <w:rsid w:val="00FA3380"/>
    <w:rsid w:val="00FA55EF"/>
    <w:rsid w:val="00FB00AF"/>
    <w:rsid w:val="00FB080D"/>
    <w:rsid w:val="00FB5392"/>
    <w:rsid w:val="00FC23ED"/>
    <w:rsid w:val="00FC24A8"/>
    <w:rsid w:val="00FD6479"/>
    <w:rsid w:val="00FD687B"/>
    <w:rsid w:val="00FE1CA2"/>
    <w:rsid w:val="00FE4021"/>
    <w:rsid w:val="00FE76E3"/>
    <w:rsid w:val="00FF0AB6"/>
    <w:rsid w:val="00FF12ED"/>
    <w:rsid w:val="00FF24AE"/>
    <w:rsid w:val="00FF4769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7DB"/>
    <w:rPr>
      <w:sz w:val="24"/>
      <w:szCs w:val="24"/>
      <w:lang w:val="el-GR" w:eastAsia="el-GR"/>
    </w:rPr>
  </w:style>
  <w:style w:type="paragraph" w:styleId="Heading2">
    <w:name w:val="heading 2"/>
    <w:basedOn w:val="Normal"/>
    <w:qFormat/>
    <w:rsid w:val="005061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637DB"/>
    <w:rPr>
      <w:sz w:val="16"/>
      <w:szCs w:val="16"/>
    </w:rPr>
  </w:style>
  <w:style w:type="paragraph" w:styleId="CommentText">
    <w:name w:val="annotation text"/>
    <w:basedOn w:val="Normal"/>
    <w:semiHidden/>
    <w:rsid w:val="001637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37DB"/>
    <w:rPr>
      <w:b/>
      <w:bCs/>
    </w:rPr>
  </w:style>
  <w:style w:type="paragraph" w:styleId="BalloonText">
    <w:name w:val="Balloon Text"/>
    <w:basedOn w:val="Normal"/>
    <w:semiHidden/>
    <w:rsid w:val="001637D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1637DB"/>
    <w:pPr>
      <w:spacing w:after="120"/>
      <w:ind w:left="283"/>
    </w:pPr>
    <w:rPr>
      <w:sz w:val="16"/>
      <w:szCs w:val="16"/>
      <w:lang w:val="en-US" w:eastAsia="en-US"/>
    </w:rPr>
  </w:style>
  <w:style w:type="paragraph" w:styleId="BodyTextIndent">
    <w:name w:val="Body Text Indent"/>
    <w:basedOn w:val="Normal"/>
    <w:rsid w:val="001637DB"/>
    <w:pPr>
      <w:spacing w:line="480" w:lineRule="auto"/>
      <w:ind w:firstLine="720"/>
    </w:pPr>
    <w:rPr>
      <w:color w:val="0000FF"/>
      <w:lang w:val="en-US"/>
    </w:rPr>
  </w:style>
  <w:style w:type="paragraph" w:styleId="BodyText">
    <w:name w:val="Body Text"/>
    <w:basedOn w:val="Normal"/>
    <w:rsid w:val="001637DB"/>
    <w:pPr>
      <w:spacing w:after="120"/>
    </w:pPr>
  </w:style>
  <w:style w:type="character" w:customStyle="1" w:styleId="title-bold-large1">
    <w:name w:val="title-bold-large1"/>
    <w:rsid w:val="001637DB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1637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medium-normal1">
    <w:name w:val="medium-normal1"/>
    <w:rsid w:val="001637DB"/>
    <w:rPr>
      <w:rFonts w:ascii="Arial" w:hAnsi="Arial" w:cs="Arial" w:hint="default"/>
      <w:b w:val="0"/>
      <w:bCs w:val="0"/>
      <w:i w:val="0"/>
      <w:iCs w:val="0"/>
      <w:sz w:val="26"/>
      <w:szCs w:val="26"/>
    </w:rPr>
  </w:style>
  <w:style w:type="character" w:customStyle="1" w:styleId="medium-bold1">
    <w:name w:val="medium-bold1"/>
    <w:rsid w:val="001637DB"/>
    <w:rPr>
      <w:rFonts w:ascii="Arial" w:hAnsi="Arial" w:cs="Arial" w:hint="default"/>
      <w:b/>
      <w:bCs/>
      <w:i w:val="0"/>
      <w:iCs w:val="0"/>
      <w:sz w:val="26"/>
      <w:szCs w:val="26"/>
    </w:rPr>
  </w:style>
  <w:style w:type="character" w:styleId="Emphasis">
    <w:name w:val="Emphasis"/>
    <w:qFormat/>
    <w:rsid w:val="001637DB"/>
    <w:rPr>
      <w:i/>
      <w:iCs/>
    </w:rPr>
  </w:style>
  <w:style w:type="character" w:customStyle="1" w:styleId="hit">
    <w:name w:val="hit"/>
    <w:basedOn w:val="DefaultParagraphFont"/>
    <w:rsid w:val="001637DB"/>
  </w:style>
  <w:style w:type="paragraph" w:styleId="Footer">
    <w:name w:val="footer"/>
    <w:basedOn w:val="Normal"/>
    <w:link w:val="FooterChar"/>
    <w:uiPriority w:val="99"/>
    <w:rsid w:val="001637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7DB"/>
  </w:style>
  <w:style w:type="paragraph" w:styleId="BodyTextIndent2">
    <w:name w:val="Body Text Indent 2"/>
    <w:basedOn w:val="Normal"/>
    <w:rsid w:val="001637DB"/>
    <w:pPr>
      <w:spacing w:line="480" w:lineRule="auto"/>
      <w:ind w:firstLine="720"/>
    </w:pPr>
    <w:rPr>
      <w:lang w:val="en-US"/>
    </w:rPr>
  </w:style>
  <w:style w:type="paragraph" w:styleId="BodyText2">
    <w:name w:val="Body Text 2"/>
    <w:basedOn w:val="Normal"/>
    <w:rsid w:val="001637DB"/>
    <w:pPr>
      <w:spacing w:line="480" w:lineRule="auto"/>
    </w:pPr>
    <w:rPr>
      <w:bCs/>
      <w:color w:val="000000"/>
      <w:lang w:val="en-US"/>
    </w:rPr>
  </w:style>
  <w:style w:type="paragraph" w:styleId="NormalWeb">
    <w:name w:val="Normal (Web)"/>
    <w:basedOn w:val="Normal"/>
    <w:rsid w:val="001637DB"/>
    <w:pPr>
      <w:spacing w:before="100" w:beforeAutospacing="1" w:after="100" w:afterAutospacing="1"/>
    </w:pPr>
  </w:style>
  <w:style w:type="character" w:styleId="Hyperlink">
    <w:name w:val="Hyperlink"/>
    <w:rsid w:val="00AD23E2"/>
    <w:rPr>
      <w:color w:val="0000FF"/>
      <w:u w:val="single"/>
    </w:rPr>
  </w:style>
  <w:style w:type="character" w:styleId="FollowedHyperlink">
    <w:name w:val="FollowedHyperlink"/>
    <w:rsid w:val="00C909AC"/>
    <w:rPr>
      <w:color w:val="800080"/>
      <w:u w:val="single"/>
    </w:rPr>
  </w:style>
  <w:style w:type="character" w:customStyle="1" w:styleId="slug-doi">
    <w:name w:val="slug-doi"/>
    <w:basedOn w:val="DefaultParagraphFont"/>
    <w:rsid w:val="006E7C88"/>
  </w:style>
  <w:style w:type="character" w:customStyle="1" w:styleId="BodyTextIndent3Char">
    <w:name w:val="Body Text Indent 3 Char"/>
    <w:link w:val="BodyTextIndent3"/>
    <w:rsid w:val="00D30043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83207"/>
    <w:rPr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183207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4295</Words>
  <Characters>24618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Personality Traits of Visually Impaired Adults</vt:lpstr>
      <vt:lpstr>Personality Traits of Visually Impaired Adults</vt:lpstr>
    </vt:vector>
  </TitlesOfParts>
  <Company>West Chester University of Pennsylvania</Company>
  <LinksUpToDate>false</LinksUpToDate>
  <CharactersWithSpaces>28856</CharactersWithSpaces>
  <SharedDoc>false</SharedDoc>
  <HLinks>
    <vt:vector size="162" baseType="variant">
      <vt:variant>
        <vt:i4>524294</vt:i4>
      </vt:variant>
      <vt:variant>
        <vt:i4>78</vt:i4>
      </vt:variant>
      <vt:variant>
        <vt:i4>0</vt:i4>
      </vt:variant>
      <vt:variant>
        <vt:i4>5</vt:i4>
      </vt:variant>
      <vt:variant>
        <vt:lpwstr>http://www.wma.net/en/30publications/10policies/b3/index.html</vt:lpwstr>
      </vt:variant>
      <vt:variant>
        <vt:lpwstr/>
      </vt:variant>
      <vt:variant>
        <vt:i4>3670061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http://dx.doi.org/10.1016%2Fj.paid.2003.09.028</vt:lpwstr>
      </vt:variant>
      <vt:variant>
        <vt:lpwstr/>
      </vt:variant>
      <vt:variant>
        <vt:i4>4522051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http://dx.doi.org/10.1016%2F0191-8869%2892%2990234-G</vt:lpwstr>
      </vt:variant>
      <vt:variant>
        <vt:lpwstr/>
      </vt:variant>
      <vt:variant>
        <vt:i4>983124</vt:i4>
      </vt:variant>
      <vt:variant>
        <vt:i4>69</vt:i4>
      </vt:variant>
      <vt:variant>
        <vt:i4>0</vt:i4>
      </vt:variant>
      <vt:variant>
        <vt:i4>5</vt:i4>
      </vt:variant>
      <vt:variant>
        <vt:lpwstr>http://dx.doi.org/10.1177%2F0264619604046640</vt:lpwstr>
      </vt:variant>
      <vt:variant>
        <vt:lpwstr/>
      </vt:variant>
      <vt:variant>
        <vt:i4>7667820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http://dx.doi.org/10.1002%2Fper.510</vt:lpwstr>
      </vt:variant>
      <vt:variant>
        <vt:lpwstr/>
      </vt:variant>
      <vt:variant>
        <vt:i4>852056</vt:i4>
      </vt:variant>
      <vt:variant>
        <vt:i4>63</vt:i4>
      </vt:variant>
      <vt:variant>
        <vt:i4>0</vt:i4>
      </vt:variant>
      <vt:variant>
        <vt:i4>5</vt:i4>
      </vt:variant>
      <vt:variant>
        <vt:lpwstr>http://dx.doi.org/10.1080%2F00224549709595447</vt:lpwstr>
      </vt:variant>
      <vt:variant>
        <vt:lpwstr/>
      </vt:variant>
      <vt:variant>
        <vt:i4>524305</vt:i4>
      </vt:variant>
      <vt:variant>
        <vt:i4>60</vt:i4>
      </vt:variant>
      <vt:variant>
        <vt:i4>0</vt:i4>
      </vt:variant>
      <vt:variant>
        <vt:i4>5</vt:i4>
      </vt:variant>
      <vt:variant>
        <vt:lpwstr>http://dx.doi.org/10.1017%2FS0033291700013052</vt:lpwstr>
      </vt:variant>
      <vt:variant>
        <vt:lpwstr/>
      </vt:variant>
      <vt:variant>
        <vt:i4>2031683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http://dx.doi.org/10.1016%2F0191-8869%2889%2990221-3</vt:lpwstr>
      </vt:variant>
      <vt:variant>
        <vt:lpwstr/>
      </vt:variant>
      <vt:variant>
        <vt:i4>5636162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http://dx.doi.org/10.1016%2F0191-8869%2888%2990030-X</vt:lpwstr>
      </vt:variant>
      <vt:variant>
        <vt:lpwstr/>
      </vt:variant>
      <vt:variant>
        <vt:i4>1310787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http://dx.doi.org/10.1016%2F0191-8869%2889%2990023-8</vt:lpwstr>
      </vt:variant>
      <vt:variant>
        <vt:lpwstr/>
      </vt:variant>
      <vt:variant>
        <vt:i4>2883705</vt:i4>
      </vt:variant>
      <vt:variant>
        <vt:i4>48</vt:i4>
      </vt:variant>
      <vt:variant>
        <vt:i4>0</vt:i4>
      </vt:variant>
      <vt:variant>
        <vt:i4>5</vt:i4>
      </vt:variant>
      <vt:variant>
        <vt:lpwstr>http://dx.doi.org/10.3200%2FSOCP.148.2.133-166</vt:lpwstr>
      </vt:variant>
      <vt:variant>
        <vt:lpwstr/>
      </vt:variant>
      <vt:variant>
        <vt:i4>5439557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http://dx.doi.org/10.1016%2F0191-8869%2890%2990256-Q</vt:lpwstr>
      </vt:variant>
      <vt:variant>
        <vt:lpwstr/>
      </vt:variant>
      <vt:variant>
        <vt:i4>3866664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http://dx.doi.org/10.1016%2Fj.paid.2004.03.001</vt:lpwstr>
      </vt:variant>
      <vt:variant>
        <vt:lpwstr/>
      </vt:variant>
      <vt:variant>
        <vt:i4>3866664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http://dx.doi.org/10.1016%2Fj.paid.2004.03.001</vt:lpwstr>
      </vt:variant>
      <vt:variant>
        <vt:lpwstr/>
      </vt:variant>
      <vt:variant>
        <vt:i4>3866738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http://dx.doi.org/10.1111%2Fj.1467-6494.1990.tb00915.x</vt:lpwstr>
      </vt:variant>
      <vt:variant>
        <vt:lpwstr/>
      </vt:variant>
      <vt:variant>
        <vt:i4>65542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http://dx.doi.org/10.1037%2Fh0076862</vt:lpwstr>
      </vt:variant>
      <vt:variant>
        <vt:lpwstr/>
      </vt:variant>
      <vt:variant>
        <vt:i4>2097274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http://dx.doi.org/10.1037%2F0022-3514.81.2.322</vt:lpwstr>
      </vt:variant>
      <vt:variant>
        <vt:lpwstr/>
      </vt:variant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http://dx.doi.org/10.1177%2F107319110000700405</vt:lpwstr>
      </vt:variant>
      <vt:variant>
        <vt:lpwstr/>
      </vt:variant>
      <vt:variant>
        <vt:i4>1441805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http://dx.doi.org/10.1016%2FS0191-8869%2898%2900179-2</vt:lpwstr>
      </vt:variant>
      <vt:variant>
        <vt:lpwstr/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http://dx.doi.org/10.1080%2F15325020600662625</vt:lpwstr>
      </vt:variant>
      <vt:variant>
        <vt:lpwstr/>
      </vt:variant>
      <vt:variant>
        <vt:i4>3473449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http://dx.doi.org/10.1016%2Fj.paid.2005.09.005</vt:lpwstr>
      </vt:variant>
      <vt:variant>
        <vt:lpwstr/>
      </vt:variant>
      <vt:variant>
        <vt:i4>1048587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http://dx.doi.org/10.1016%2FS0191-8869%2801%2900186-6</vt:lpwstr>
      </vt:variant>
      <vt:variant>
        <vt:lpwstr/>
      </vt:variant>
      <vt:variant>
        <vt:i4>4063278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http://dx.doi.org/10.1016%2Fj.paid.2003.12.005</vt:lpwstr>
      </vt:variant>
      <vt:variant>
        <vt:lpwstr/>
      </vt:variant>
      <vt:variant>
        <vt:i4>7602195</vt:i4>
      </vt:variant>
      <vt:variant>
        <vt:i4>9</vt:i4>
      </vt:variant>
      <vt:variant>
        <vt:i4>0</vt:i4>
      </vt:variant>
      <vt:variant>
        <vt:i4>5</vt:i4>
      </vt:variant>
      <vt:variant>
        <vt:lpwstr>mailto:eapamak1@gmail.com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mailto:kouselen@yahoo.gr</vt:lpwstr>
      </vt:variant>
      <vt:variant>
        <vt:lpwstr/>
      </vt:variant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mailto:elkous@uom.com</vt:lpwstr>
      </vt:variant>
      <vt:variant>
        <vt:lpwstr/>
      </vt:variant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mailto:kpapado@uom.gr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Personality Traits of Visually Impaired Adults</dc:title>
  <dc:creator>nikos</dc:creator>
  <cp:lastModifiedBy>West Chester University</cp:lastModifiedBy>
  <cp:revision>6</cp:revision>
  <dcterms:created xsi:type="dcterms:W3CDTF">2013-09-09T18:06:00Z</dcterms:created>
  <dcterms:modified xsi:type="dcterms:W3CDTF">2013-10-29T14:03:00Z</dcterms:modified>
</cp:coreProperties>
</file>